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DE" w:rsidRDefault="000043DE">
      <w:pPr>
        <w:pStyle w:val="Body"/>
        <w:spacing w:after="0"/>
        <w:rPr>
          <w:rFonts w:ascii="Times New Roman" w:eastAsia="Times New Roman" w:hAnsi="Times New Roman" w:cs="Times New Roman"/>
          <w:sz w:val="24"/>
          <w:szCs w:val="24"/>
        </w:rPr>
      </w:pPr>
    </w:p>
    <w:p w:rsidR="000043DE" w:rsidRDefault="00AC35D7">
      <w:pPr>
        <w:pStyle w:val="Body"/>
        <w:spacing w:after="0"/>
        <w:rPr>
          <w:rFonts w:ascii="Times New Roman" w:eastAsia="Times New Roman" w:hAnsi="Times New Roman" w:cs="Times New Roman"/>
          <w:sz w:val="24"/>
          <w:szCs w:val="24"/>
          <w:shd w:val="clear" w:color="auto" w:fill="FFFFFF"/>
        </w:rPr>
      </w:pPr>
      <w:r>
        <w:rPr>
          <w:rFonts w:ascii="Times New Roman" w:hAnsi="Times New Roman"/>
          <w:sz w:val="24"/>
          <w:szCs w:val="24"/>
        </w:rPr>
        <w:t xml:space="preserve"> </w:t>
      </w:r>
    </w:p>
    <w:p w:rsidR="000043DE" w:rsidRDefault="000043DE">
      <w:pPr>
        <w:pStyle w:val="Body"/>
        <w:spacing w:after="0" w:line="480" w:lineRule="auto"/>
        <w:rPr>
          <w:rFonts w:ascii="Times New Roman" w:eastAsia="Times New Roman" w:hAnsi="Times New Roman" w:cs="Times New Roman"/>
          <w:sz w:val="24"/>
          <w:szCs w:val="24"/>
        </w:rPr>
      </w:pPr>
    </w:p>
    <w:p w:rsidR="000043DE" w:rsidRDefault="000043DE">
      <w:pPr>
        <w:pStyle w:val="Body"/>
        <w:spacing w:after="0" w:line="480" w:lineRule="auto"/>
        <w:rPr>
          <w:rFonts w:ascii="Times New Roman" w:eastAsia="Times New Roman" w:hAnsi="Times New Roman" w:cs="Times New Roman"/>
          <w:sz w:val="24"/>
          <w:szCs w:val="24"/>
        </w:rPr>
      </w:pPr>
    </w:p>
    <w:p w:rsidR="000043DE" w:rsidRDefault="000043DE">
      <w:pPr>
        <w:pStyle w:val="Body"/>
        <w:spacing w:after="0" w:line="480" w:lineRule="auto"/>
        <w:rPr>
          <w:rFonts w:ascii="Times New Roman" w:eastAsia="Times New Roman" w:hAnsi="Times New Roman" w:cs="Times New Roman"/>
          <w:sz w:val="24"/>
          <w:szCs w:val="24"/>
        </w:rPr>
      </w:pPr>
    </w:p>
    <w:p w:rsidR="000043DE" w:rsidRDefault="000043DE">
      <w:pPr>
        <w:pStyle w:val="Body"/>
        <w:spacing w:after="0" w:line="480" w:lineRule="auto"/>
        <w:rPr>
          <w:rFonts w:ascii="Times New Roman" w:eastAsia="Times New Roman" w:hAnsi="Times New Roman" w:cs="Times New Roman"/>
          <w:sz w:val="24"/>
          <w:szCs w:val="24"/>
        </w:rPr>
      </w:pPr>
    </w:p>
    <w:p w:rsidR="000043DE" w:rsidRDefault="000043DE">
      <w:pPr>
        <w:pStyle w:val="Body"/>
        <w:spacing w:after="0" w:line="480" w:lineRule="auto"/>
        <w:rPr>
          <w:rFonts w:ascii="Times New Roman" w:eastAsia="Times New Roman" w:hAnsi="Times New Roman" w:cs="Times New Roman"/>
          <w:sz w:val="24"/>
          <w:szCs w:val="24"/>
        </w:rPr>
      </w:pPr>
    </w:p>
    <w:p w:rsidR="000043DE" w:rsidRDefault="000043DE">
      <w:pPr>
        <w:pStyle w:val="Body"/>
        <w:spacing w:after="0" w:line="480" w:lineRule="auto"/>
        <w:rPr>
          <w:rFonts w:ascii="Times New Roman" w:eastAsia="Times New Roman" w:hAnsi="Times New Roman" w:cs="Times New Roman"/>
          <w:sz w:val="24"/>
          <w:szCs w:val="24"/>
        </w:rPr>
      </w:pPr>
    </w:p>
    <w:p w:rsidR="000043DE" w:rsidRDefault="000043DE">
      <w:pPr>
        <w:pStyle w:val="Body"/>
        <w:spacing w:after="0" w:line="480" w:lineRule="auto"/>
        <w:rPr>
          <w:rFonts w:ascii="Times New Roman" w:eastAsia="Times New Roman" w:hAnsi="Times New Roman" w:cs="Times New Roman"/>
          <w:sz w:val="24"/>
          <w:szCs w:val="24"/>
        </w:rPr>
      </w:pPr>
    </w:p>
    <w:p w:rsidR="000043DE" w:rsidRDefault="00AC35D7">
      <w:pPr>
        <w:pStyle w:val="Body"/>
        <w:spacing w:after="0"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Monsanto Financial Analysis </w:t>
      </w:r>
    </w:p>
    <w:p w:rsidR="0010391C" w:rsidRDefault="0010391C">
      <w:pPr>
        <w:pStyle w:val="Body"/>
        <w:spacing w:after="0" w:line="480" w:lineRule="auto"/>
        <w:jc w:val="center"/>
        <w:rPr>
          <w:rFonts w:ascii="Times New Roman" w:hAnsi="Times New Roman"/>
          <w:sz w:val="24"/>
          <w:szCs w:val="24"/>
        </w:rPr>
      </w:pPr>
      <w:r>
        <w:rPr>
          <w:rFonts w:ascii="Times New Roman" w:hAnsi="Times New Roman"/>
          <w:sz w:val="24"/>
          <w:szCs w:val="24"/>
        </w:rPr>
        <w:t>Student Name</w:t>
      </w:r>
    </w:p>
    <w:p w:rsidR="000043DE" w:rsidRDefault="0010391C">
      <w:pPr>
        <w:pStyle w:val="Body"/>
        <w:spacing w:after="0" w:line="480" w:lineRule="auto"/>
        <w:jc w:val="center"/>
      </w:pPr>
      <w:r>
        <w:rPr>
          <w:rFonts w:ascii="Times New Roman" w:hAnsi="Times New Roman"/>
          <w:sz w:val="24"/>
          <w:szCs w:val="24"/>
        </w:rPr>
        <w:t xml:space="preserve"> University </w:t>
      </w:r>
      <w:bookmarkStart w:id="0" w:name="_GoBack"/>
      <w:bookmarkEnd w:id="0"/>
      <w:r w:rsidR="00AC35D7">
        <w:rPr>
          <w:rFonts w:ascii="Arial Unicode MS" w:eastAsia="Arial Unicode MS" w:hAnsi="Arial Unicode MS" w:cs="Arial Unicode MS"/>
          <w:sz w:val="24"/>
          <w:szCs w:val="24"/>
        </w:rPr>
        <w:br w:type="page"/>
      </w:r>
    </w:p>
    <w:p w:rsidR="000561BB" w:rsidRDefault="000561BB" w:rsidP="000561BB">
      <w:pPr>
        <w:pStyle w:val="Body"/>
        <w:spacing w:after="0" w:line="48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 xml:space="preserve">Monsanto Financial Analysis </w:t>
      </w:r>
    </w:p>
    <w:p w:rsidR="00BC74B4" w:rsidRDefault="00AC35D7" w:rsidP="00BC74B4">
      <w:pPr>
        <w:pStyle w:val="Body"/>
        <w:spacing w:after="0" w:line="480" w:lineRule="auto"/>
        <w:ind w:firstLine="720"/>
        <w:rPr>
          <w:rFonts w:ascii="Times New Roman" w:hAnsi="Times New Roman"/>
          <w:sz w:val="24"/>
          <w:szCs w:val="24"/>
        </w:rPr>
      </w:pPr>
      <w:r>
        <w:rPr>
          <w:rFonts w:ascii="Times New Roman" w:hAnsi="Times New Roman"/>
          <w:sz w:val="24"/>
          <w:szCs w:val="24"/>
        </w:rPr>
        <w:t>Before making any critical financial investment, it is imperative for a firm to carry out a financial analysis to ascertain how it is performing in different areas. Alexander (2001) explains that financial analys</w:t>
      </w:r>
      <w:r w:rsidR="00FF658D">
        <w:rPr>
          <w:rFonts w:ascii="Times New Roman" w:hAnsi="Times New Roman"/>
          <w:sz w:val="24"/>
          <w:szCs w:val="24"/>
        </w:rPr>
        <w:t>i</w:t>
      </w:r>
      <w:r>
        <w:rPr>
          <w:rFonts w:ascii="Times New Roman" w:hAnsi="Times New Roman"/>
          <w:sz w:val="24"/>
          <w:szCs w:val="24"/>
        </w:rPr>
        <w:t>s aid</w:t>
      </w:r>
      <w:r w:rsidR="00FF658D">
        <w:rPr>
          <w:rFonts w:ascii="Times New Roman" w:hAnsi="Times New Roman"/>
          <w:sz w:val="24"/>
          <w:szCs w:val="24"/>
        </w:rPr>
        <w:t>s</w:t>
      </w:r>
      <w:r>
        <w:rPr>
          <w:rFonts w:ascii="Times New Roman" w:hAnsi="Times New Roman"/>
          <w:sz w:val="24"/>
          <w:szCs w:val="24"/>
        </w:rPr>
        <w:t xml:space="preserve"> in the evaluation of budgets, projects and business performance to establish the profitability, liquidity, solvency, and stability of investments, and to determine whether they warrant a financial investment. In the case presented, before </w:t>
      </w:r>
      <w:r w:rsidR="00796978">
        <w:rPr>
          <w:rFonts w:ascii="Times New Roman" w:hAnsi="Times New Roman"/>
          <w:sz w:val="24"/>
          <w:szCs w:val="24"/>
        </w:rPr>
        <w:t>considering</w:t>
      </w:r>
      <w:r>
        <w:rPr>
          <w:rFonts w:ascii="Times New Roman" w:hAnsi="Times New Roman"/>
          <w:sz w:val="24"/>
          <w:szCs w:val="24"/>
        </w:rPr>
        <w:t xml:space="preserve"> the acquisition by Bayer or the </w:t>
      </w:r>
      <w:r w:rsidR="00796978">
        <w:rPr>
          <w:rFonts w:ascii="Times New Roman" w:hAnsi="Times New Roman"/>
          <w:sz w:val="24"/>
          <w:szCs w:val="24"/>
        </w:rPr>
        <w:t>Alternative investment</w:t>
      </w:r>
      <w:r>
        <w:rPr>
          <w:rFonts w:ascii="Times New Roman" w:hAnsi="Times New Roman"/>
          <w:sz w:val="24"/>
          <w:szCs w:val="24"/>
        </w:rPr>
        <w:t xml:space="preserve">, it is </w:t>
      </w:r>
      <w:r w:rsidR="00796978">
        <w:rPr>
          <w:rFonts w:ascii="Times New Roman" w:hAnsi="Times New Roman"/>
          <w:sz w:val="24"/>
          <w:szCs w:val="24"/>
        </w:rPr>
        <w:t>critical</w:t>
      </w:r>
      <w:r>
        <w:rPr>
          <w:rFonts w:ascii="Times New Roman" w:hAnsi="Times New Roman"/>
          <w:sz w:val="24"/>
          <w:szCs w:val="24"/>
        </w:rPr>
        <w:t xml:space="preserve"> for </w:t>
      </w:r>
      <w:r w:rsidR="00796978">
        <w:rPr>
          <w:rFonts w:ascii="Times New Roman" w:hAnsi="Times New Roman"/>
          <w:sz w:val="24"/>
          <w:szCs w:val="24"/>
        </w:rPr>
        <w:t>the organizations</w:t>
      </w:r>
      <w:r>
        <w:rPr>
          <w:rFonts w:ascii="Times New Roman" w:hAnsi="Times New Roman"/>
          <w:sz w:val="24"/>
          <w:szCs w:val="24"/>
        </w:rPr>
        <w:t xml:space="preserve"> to evaluate</w:t>
      </w:r>
      <w:r w:rsidR="00796978">
        <w:rPr>
          <w:rFonts w:ascii="Times New Roman" w:hAnsi="Times New Roman"/>
          <w:sz w:val="24"/>
          <w:szCs w:val="24"/>
        </w:rPr>
        <w:t xml:space="preserve"> </w:t>
      </w:r>
      <w:r>
        <w:rPr>
          <w:rFonts w:ascii="Times New Roman" w:hAnsi="Times New Roman"/>
          <w:sz w:val="24"/>
          <w:szCs w:val="24"/>
        </w:rPr>
        <w:t>past performance</w:t>
      </w:r>
      <w:r w:rsidR="00796978">
        <w:rPr>
          <w:rFonts w:ascii="Times New Roman" w:hAnsi="Times New Roman"/>
          <w:sz w:val="24"/>
          <w:szCs w:val="24"/>
        </w:rPr>
        <w:t xml:space="preserve"> and predict future per</w:t>
      </w:r>
      <w:r>
        <w:rPr>
          <w:rFonts w:ascii="Times New Roman" w:hAnsi="Times New Roman"/>
          <w:sz w:val="24"/>
          <w:szCs w:val="24"/>
        </w:rPr>
        <w:t>formance where possible.</w:t>
      </w:r>
      <w:r w:rsidR="00796978">
        <w:rPr>
          <w:rFonts w:ascii="Times New Roman" w:hAnsi="Times New Roman"/>
          <w:sz w:val="24"/>
          <w:szCs w:val="24"/>
        </w:rPr>
        <w:t xml:space="preserve"> </w:t>
      </w:r>
      <w:r>
        <w:rPr>
          <w:rFonts w:ascii="Times New Roman" w:hAnsi="Times New Roman"/>
          <w:sz w:val="24"/>
          <w:szCs w:val="24"/>
        </w:rPr>
        <w:t xml:space="preserve">This can aid in </w:t>
      </w:r>
      <w:r w:rsidR="00796978">
        <w:rPr>
          <w:rFonts w:ascii="Times New Roman" w:hAnsi="Times New Roman"/>
          <w:sz w:val="24"/>
          <w:szCs w:val="24"/>
        </w:rPr>
        <w:t>establishing</w:t>
      </w:r>
      <w:r w:rsidR="00FF658D">
        <w:rPr>
          <w:rFonts w:ascii="Times New Roman" w:hAnsi="Times New Roman"/>
          <w:sz w:val="24"/>
          <w:szCs w:val="24"/>
        </w:rPr>
        <w:t xml:space="preserve"> </w:t>
      </w:r>
      <w:r>
        <w:rPr>
          <w:rFonts w:ascii="Times New Roman" w:hAnsi="Times New Roman"/>
          <w:sz w:val="24"/>
          <w:szCs w:val="24"/>
        </w:rPr>
        <w:t xml:space="preserve">the </w:t>
      </w:r>
      <w:r w:rsidR="00796978">
        <w:rPr>
          <w:rFonts w:ascii="Times New Roman" w:hAnsi="Times New Roman"/>
          <w:sz w:val="24"/>
          <w:szCs w:val="24"/>
        </w:rPr>
        <w:t>investment</w:t>
      </w:r>
      <w:r>
        <w:rPr>
          <w:rFonts w:ascii="Times New Roman" w:hAnsi="Times New Roman"/>
          <w:sz w:val="24"/>
          <w:szCs w:val="24"/>
        </w:rPr>
        <w:t xml:space="preserve"> that bears the</w:t>
      </w:r>
      <w:r w:rsidR="00796978">
        <w:rPr>
          <w:rFonts w:ascii="Times New Roman" w:hAnsi="Times New Roman"/>
          <w:sz w:val="24"/>
          <w:szCs w:val="24"/>
        </w:rPr>
        <w:t xml:space="preserve"> </w:t>
      </w:r>
      <w:r>
        <w:rPr>
          <w:rFonts w:ascii="Times New Roman" w:hAnsi="Times New Roman"/>
          <w:sz w:val="24"/>
          <w:szCs w:val="24"/>
        </w:rPr>
        <w:t xml:space="preserve">greatest profitability </w:t>
      </w:r>
      <w:r w:rsidR="00796978">
        <w:rPr>
          <w:rFonts w:ascii="Times New Roman" w:hAnsi="Times New Roman"/>
          <w:sz w:val="24"/>
          <w:szCs w:val="24"/>
        </w:rPr>
        <w:t>potential</w:t>
      </w:r>
      <w:r>
        <w:rPr>
          <w:rFonts w:ascii="Times New Roman" w:hAnsi="Times New Roman"/>
          <w:sz w:val="24"/>
          <w:szCs w:val="24"/>
        </w:rPr>
        <w:t xml:space="preserve"> to</w:t>
      </w:r>
      <w:r w:rsidR="00FF658D">
        <w:rPr>
          <w:rFonts w:ascii="Times New Roman" w:hAnsi="Times New Roman"/>
          <w:sz w:val="24"/>
          <w:szCs w:val="24"/>
        </w:rPr>
        <w:t xml:space="preserve"> a</w:t>
      </w:r>
      <w:r>
        <w:rPr>
          <w:rFonts w:ascii="Times New Roman" w:hAnsi="Times New Roman"/>
          <w:sz w:val="24"/>
          <w:szCs w:val="24"/>
        </w:rPr>
        <w:t xml:space="preserve"> firm</w:t>
      </w:r>
      <w:r w:rsidR="00FF658D">
        <w:rPr>
          <w:rFonts w:ascii="Times New Roman" w:hAnsi="Times New Roman"/>
          <w:sz w:val="24"/>
          <w:szCs w:val="24"/>
        </w:rPr>
        <w:t>.</w:t>
      </w:r>
      <w:r>
        <w:rPr>
          <w:rFonts w:ascii="Times New Roman" w:hAnsi="Times New Roman"/>
          <w:sz w:val="24"/>
          <w:szCs w:val="24"/>
        </w:rPr>
        <w:t xml:space="preserve"> </w:t>
      </w:r>
    </w:p>
    <w:p w:rsidR="00BC74B4" w:rsidRDefault="00AC35D7" w:rsidP="00BC74B4">
      <w:pPr>
        <w:pStyle w:val="Body"/>
        <w:spacing w:after="0" w:line="480" w:lineRule="auto"/>
        <w:jc w:val="center"/>
        <w:rPr>
          <w:rFonts w:ascii="Times New Roman" w:eastAsia="Times New Roman" w:hAnsi="Times New Roman" w:cs="Times New Roman"/>
          <w:b/>
          <w:bCs/>
          <w:sz w:val="24"/>
          <w:szCs w:val="24"/>
        </w:rPr>
      </w:pPr>
      <w:r w:rsidRPr="00BC74B4">
        <w:rPr>
          <w:rFonts w:ascii="Times New Roman" w:eastAsia="Times New Roman" w:hAnsi="Times New Roman" w:cs="Times New Roman"/>
          <w:b/>
          <w:bCs/>
          <w:sz w:val="24"/>
          <w:szCs w:val="24"/>
        </w:rPr>
        <w:t>Weighted Average Cost of Capital (WACC)</w:t>
      </w:r>
    </w:p>
    <w:p w:rsidR="00BC74B4" w:rsidRDefault="00AC35D7" w:rsidP="00BC74B4">
      <w:pPr>
        <w:pStyle w:val="Body"/>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 Weighted Cost of Capital</w:t>
      </w:r>
      <w:r w:rsidR="00796978">
        <w:rPr>
          <w:rFonts w:ascii="Times New Roman" w:eastAsia="Times New Roman" w:hAnsi="Times New Roman" w:cs="Times New Roman"/>
          <w:bCs/>
          <w:sz w:val="24"/>
          <w:szCs w:val="24"/>
        </w:rPr>
        <w:t xml:space="preserve"> </w:t>
      </w:r>
      <w:r w:rsidR="005D1B66">
        <w:rPr>
          <w:rFonts w:ascii="Times New Roman" w:eastAsia="Times New Roman" w:hAnsi="Times New Roman" w:cs="Times New Roman"/>
          <w:bCs/>
          <w:sz w:val="24"/>
          <w:szCs w:val="24"/>
        </w:rPr>
        <w:t xml:space="preserve">is </w:t>
      </w:r>
      <w:r w:rsidR="00796978">
        <w:rPr>
          <w:rFonts w:ascii="Times New Roman" w:eastAsia="Times New Roman" w:hAnsi="Times New Roman" w:cs="Times New Roman"/>
          <w:bCs/>
          <w:sz w:val="24"/>
          <w:szCs w:val="24"/>
        </w:rPr>
        <w:t>basically</w:t>
      </w:r>
      <w:r w:rsidR="005D1B66">
        <w:rPr>
          <w:rFonts w:ascii="Times New Roman" w:eastAsia="Times New Roman" w:hAnsi="Times New Roman" w:cs="Times New Roman"/>
          <w:bCs/>
          <w:sz w:val="24"/>
          <w:szCs w:val="24"/>
        </w:rPr>
        <w:t xml:space="preserve"> the rate at which a </w:t>
      </w:r>
      <w:r w:rsidR="00796978">
        <w:rPr>
          <w:rFonts w:ascii="Times New Roman" w:eastAsia="Times New Roman" w:hAnsi="Times New Roman" w:cs="Times New Roman"/>
          <w:bCs/>
          <w:sz w:val="24"/>
          <w:szCs w:val="24"/>
        </w:rPr>
        <w:t>firm</w:t>
      </w:r>
      <w:r w:rsidR="005D1B66">
        <w:rPr>
          <w:rFonts w:ascii="Times New Roman" w:eastAsia="Times New Roman" w:hAnsi="Times New Roman" w:cs="Times New Roman"/>
          <w:bCs/>
          <w:sz w:val="24"/>
          <w:szCs w:val="24"/>
        </w:rPr>
        <w:t xml:space="preserve"> </w:t>
      </w:r>
      <w:r w:rsidR="00796978">
        <w:rPr>
          <w:rFonts w:ascii="Times New Roman" w:eastAsia="Times New Roman" w:hAnsi="Times New Roman" w:cs="Times New Roman"/>
          <w:bCs/>
          <w:sz w:val="24"/>
          <w:szCs w:val="24"/>
        </w:rPr>
        <w:t xml:space="preserve">anticipates </w:t>
      </w:r>
      <w:r w:rsidR="00FF658D">
        <w:rPr>
          <w:rFonts w:ascii="Times New Roman" w:eastAsia="Times New Roman" w:hAnsi="Times New Roman" w:cs="Times New Roman"/>
          <w:bCs/>
          <w:sz w:val="24"/>
          <w:szCs w:val="24"/>
        </w:rPr>
        <w:t xml:space="preserve">to </w:t>
      </w:r>
      <w:r w:rsidR="005D1B66">
        <w:rPr>
          <w:rFonts w:ascii="Times New Roman" w:eastAsia="Times New Roman" w:hAnsi="Times New Roman" w:cs="Times New Roman"/>
          <w:bCs/>
          <w:sz w:val="24"/>
          <w:szCs w:val="24"/>
        </w:rPr>
        <w:t xml:space="preserve">pay the </w:t>
      </w:r>
      <w:r w:rsidR="00796978">
        <w:rPr>
          <w:rFonts w:ascii="Times New Roman" w:eastAsia="Times New Roman" w:hAnsi="Times New Roman" w:cs="Times New Roman"/>
          <w:bCs/>
          <w:sz w:val="24"/>
          <w:szCs w:val="24"/>
        </w:rPr>
        <w:t>investors</w:t>
      </w:r>
      <w:r w:rsidR="005D1B66">
        <w:rPr>
          <w:rFonts w:ascii="Times New Roman" w:eastAsia="Times New Roman" w:hAnsi="Times New Roman" w:cs="Times New Roman"/>
          <w:bCs/>
          <w:sz w:val="24"/>
          <w:szCs w:val="24"/>
        </w:rPr>
        <w:t>. As such,</w:t>
      </w:r>
      <w:r w:rsidR="00796978">
        <w:rPr>
          <w:rFonts w:ascii="Times New Roman" w:eastAsia="Times New Roman" w:hAnsi="Times New Roman" w:cs="Times New Roman"/>
          <w:bCs/>
          <w:sz w:val="24"/>
          <w:szCs w:val="24"/>
        </w:rPr>
        <w:t xml:space="preserve"> </w:t>
      </w:r>
      <w:r w:rsidR="005D1B66">
        <w:rPr>
          <w:rFonts w:ascii="Times New Roman" w:eastAsia="Times New Roman" w:hAnsi="Times New Roman" w:cs="Times New Roman"/>
          <w:bCs/>
          <w:sz w:val="24"/>
          <w:szCs w:val="24"/>
        </w:rPr>
        <w:t>it</w:t>
      </w:r>
      <w:r w:rsidR="00796978">
        <w:rPr>
          <w:rFonts w:ascii="Times New Roman" w:eastAsia="Times New Roman" w:hAnsi="Times New Roman" w:cs="Times New Roman"/>
          <w:bCs/>
          <w:sz w:val="24"/>
          <w:szCs w:val="24"/>
        </w:rPr>
        <w:t xml:space="preserve"> </w:t>
      </w:r>
      <w:r w:rsidR="005D1B66">
        <w:rPr>
          <w:rFonts w:ascii="Times New Roman" w:eastAsia="Times New Roman" w:hAnsi="Times New Roman" w:cs="Times New Roman"/>
          <w:bCs/>
          <w:sz w:val="24"/>
          <w:szCs w:val="24"/>
        </w:rPr>
        <w:t>can be</w:t>
      </w:r>
      <w:r w:rsidR="00796978">
        <w:rPr>
          <w:rFonts w:ascii="Times New Roman" w:eastAsia="Times New Roman" w:hAnsi="Times New Roman" w:cs="Times New Roman"/>
          <w:bCs/>
          <w:sz w:val="24"/>
          <w:szCs w:val="24"/>
        </w:rPr>
        <w:t xml:space="preserve"> </w:t>
      </w:r>
      <w:r w:rsidR="005D1B66">
        <w:rPr>
          <w:rFonts w:ascii="Times New Roman" w:eastAsia="Times New Roman" w:hAnsi="Times New Roman" w:cs="Times New Roman"/>
          <w:bCs/>
          <w:sz w:val="24"/>
          <w:szCs w:val="24"/>
        </w:rPr>
        <w:t>perceived as</w:t>
      </w:r>
      <w:r w:rsidR="00796978">
        <w:rPr>
          <w:rFonts w:ascii="Times New Roman" w:eastAsia="Times New Roman" w:hAnsi="Times New Roman" w:cs="Times New Roman"/>
          <w:bCs/>
          <w:sz w:val="24"/>
          <w:szCs w:val="24"/>
        </w:rPr>
        <w:t xml:space="preserve"> </w:t>
      </w:r>
      <w:r w:rsidR="005D1B66">
        <w:rPr>
          <w:rFonts w:ascii="Times New Roman" w:eastAsia="Times New Roman" w:hAnsi="Times New Roman" w:cs="Times New Roman"/>
          <w:bCs/>
          <w:sz w:val="24"/>
          <w:szCs w:val="24"/>
        </w:rPr>
        <w:t xml:space="preserve">the cost of </w:t>
      </w:r>
      <w:r w:rsidR="00796978">
        <w:rPr>
          <w:rFonts w:ascii="Times New Roman" w:eastAsia="Times New Roman" w:hAnsi="Times New Roman" w:cs="Times New Roman"/>
          <w:bCs/>
          <w:sz w:val="24"/>
          <w:szCs w:val="24"/>
        </w:rPr>
        <w:t>capital</w:t>
      </w:r>
      <w:r w:rsidR="005D1B66">
        <w:rPr>
          <w:rFonts w:ascii="Times New Roman" w:eastAsia="Times New Roman" w:hAnsi="Times New Roman" w:cs="Times New Roman"/>
          <w:bCs/>
          <w:sz w:val="24"/>
          <w:szCs w:val="24"/>
        </w:rPr>
        <w:t>, which is</w:t>
      </w:r>
      <w:r w:rsidR="00796978">
        <w:rPr>
          <w:rFonts w:ascii="Times New Roman" w:eastAsia="Times New Roman" w:hAnsi="Times New Roman" w:cs="Times New Roman"/>
          <w:bCs/>
          <w:sz w:val="24"/>
          <w:szCs w:val="24"/>
        </w:rPr>
        <w:t xml:space="preserve"> characterized</w:t>
      </w:r>
      <w:r w:rsidR="005D1B66">
        <w:rPr>
          <w:rFonts w:ascii="Times New Roman" w:eastAsia="Times New Roman" w:hAnsi="Times New Roman" w:cs="Times New Roman"/>
          <w:bCs/>
          <w:sz w:val="24"/>
          <w:szCs w:val="24"/>
        </w:rPr>
        <w:t xml:space="preserve"> by proportionate </w:t>
      </w:r>
      <w:r w:rsidR="00796978">
        <w:rPr>
          <w:rFonts w:ascii="Times New Roman" w:eastAsia="Times New Roman" w:hAnsi="Times New Roman" w:cs="Times New Roman"/>
          <w:bCs/>
          <w:sz w:val="24"/>
          <w:szCs w:val="24"/>
        </w:rPr>
        <w:t>weighing</w:t>
      </w:r>
      <w:r w:rsidR="005D1B66">
        <w:rPr>
          <w:rFonts w:ascii="Times New Roman" w:eastAsia="Times New Roman" w:hAnsi="Times New Roman" w:cs="Times New Roman"/>
          <w:bCs/>
          <w:sz w:val="24"/>
          <w:szCs w:val="24"/>
        </w:rPr>
        <w:t xml:space="preserve"> of each of the</w:t>
      </w:r>
      <w:r w:rsidR="00FF658D">
        <w:rPr>
          <w:rFonts w:ascii="Times New Roman" w:eastAsia="Times New Roman" w:hAnsi="Times New Roman" w:cs="Times New Roman"/>
          <w:bCs/>
          <w:sz w:val="24"/>
          <w:szCs w:val="24"/>
        </w:rPr>
        <w:t xml:space="preserve"> capital</w:t>
      </w:r>
      <w:r w:rsidR="00796978">
        <w:rPr>
          <w:rFonts w:ascii="Times New Roman" w:eastAsia="Times New Roman" w:hAnsi="Times New Roman" w:cs="Times New Roman"/>
          <w:bCs/>
          <w:sz w:val="24"/>
          <w:szCs w:val="24"/>
        </w:rPr>
        <w:t xml:space="preserve"> </w:t>
      </w:r>
      <w:r w:rsidR="005D1B66">
        <w:rPr>
          <w:rFonts w:ascii="Times New Roman" w:eastAsia="Times New Roman" w:hAnsi="Times New Roman" w:cs="Times New Roman"/>
          <w:bCs/>
          <w:sz w:val="24"/>
          <w:szCs w:val="24"/>
        </w:rPr>
        <w:t xml:space="preserve">categories. </w:t>
      </w:r>
      <w:r w:rsidR="00FF658D">
        <w:rPr>
          <w:rFonts w:ascii="Times New Roman" w:hAnsi="Times New Roman"/>
          <w:sz w:val="24"/>
          <w:szCs w:val="24"/>
          <w:shd w:val="clear" w:color="auto" w:fill="FFFFFF"/>
        </w:rPr>
        <w:t>Alexander</w:t>
      </w:r>
      <w:r w:rsidR="00FF658D">
        <w:rPr>
          <w:rFonts w:ascii="Times New Roman" w:eastAsia="Times New Roman" w:hAnsi="Times New Roman" w:cs="Times New Roman"/>
          <w:bCs/>
          <w:sz w:val="24"/>
          <w:szCs w:val="24"/>
        </w:rPr>
        <w:t xml:space="preserve"> (</w:t>
      </w:r>
      <w:r w:rsidR="004321D1">
        <w:rPr>
          <w:rFonts w:ascii="Times New Roman" w:eastAsia="Times New Roman" w:hAnsi="Times New Roman" w:cs="Times New Roman"/>
          <w:bCs/>
          <w:sz w:val="24"/>
          <w:szCs w:val="24"/>
        </w:rPr>
        <w:t xml:space="preserve">2001) </w:t>
      </w:r>
      <w:r w:rsidR="00796978">
        <w:rPr>
          <w:rFonts w:ascii="Times New Roman" w:eastAsia="Times New Roman" w:hAnsi="Times New Roman" w:cs="Times New Roman"/>
          <w:bCs/>
          <w:sz w:val="24"/>
          <w:szCs w:val="24"/>
        </w:rPr>
        <w:t>explains</w:t>
      </w:r>
      <w:r w:rsidR="005D1B66">
        <w:rPr>
          <w:rFonts w:ascii="Times New Roman" w:eastAsia="Times New Roman" w:hAnsi="Times New Roman" w:cs="Times New Roman"/>
          <w:bCs/>
          <w:sz w:val="24"/>
          <w:szCs w:val="24"/>
        </w:rPr>
        <w:t xml:space="preserve"> that to ensure the accuracy of the WACC value obtained</w:t>
      </w:r>
      <w:r w:rsidR="00FF658D">
        <w:rPr>
          <w:rFonts w:ascii="Times New Roman" w:eastAsia="Times New Roman" w:hAnsi="Times New Roman" w:cs="Times New Roman"/>
          <w:bCs/>
          <w:sz w:val="24"/>
          <w:szCs w:val="24"/>
        </w:rPr>
        <w:t>,</w:t>
      </w:r>
      <w:r w:rsidR="005D1B66">
        <w:rPr>
          <w:rFonts w:ascii="Times New Roman" w:eastAsia="Times New Roman" w:hAnsi="Times New Roman" w:cs="Times New Roman"/>
          <w:bCs/>
          <w:sz w:val="24"/>
          <w:szCs w:val="24"/>
        </w:rPr>
        <w:t xml:space="preserve"> </w:t>
      </w:r>
      <w:r w:rsidR="00796978">
        <w:rPr>
          <w:rFonts w:ascii="Times New Roman" w:eastAsia="Times New Roman" w:hAnsi="Times New Roman" w:cs="Times New Roman"/>
          <w:bCs/>
          <w:sz w:val="24"/>
          <w:szCs w:val="24"/>
        </w:rPr>
        <w:t>it</w:t>
      </w:r>
      <w:r w:rsidR="005D1B66">
        <w:rPr>
          <w:rFonts w:ascii="Times New Roman" w:eastAsia="Times New Roman" w:hAnsi="Times New Roman" w:cs="Times New Roman"/>
          <w:bCs/>
          <w:sz w:val="24"/>
          <w:szCs w:val="24"/>
        </w:rPr>
        <w:t xml:space="preserve"> is cr</w:t>
      </w:r>
      <w:r w:rsidR="00FF658D">
        <w:rPr>
          <w:rFonts w:ascii="Times New Roman" w:eastAsia="Times New Roman" w:hAnsi="Times New Roman" w:cs="Times New Roman"/>
          <w:bCs/>
          <w:sz w:val="24"/>
          <w:szCs w:val="24"/>
        </w:rPr>
        <w:t xml:space="preserve">ucial </w:t>
      </w:r>
      <w:r w:rsidR="005D1B66">
        <w:rPr>
          <w:rFonts w:ascii="Times New Roman" w:eastAsia="Times New Roman" w:hAnsi="Times New Roman" w:cs="Times New Roman"/>
          <w:bCs/>
          <w:sz w:val="24"/>
          <w:szCs w:val="24"/>
        </w:rPr>
        <w:t>to include the</w:t>
      </w:r>
      <w:r w:rsidR="00796978">
        <w:rPr>
          <w:rFonts w:ascii="Times New Roman" w:eastAsia="Times New Roman" w:hAnsi="Times New Roman" w:cs="Times New Roman"/>
          <w:bCs/>
          <w:sz w:val="24"/>
          <w:szCs w:val="24"/>
        </w:rPr>
        <w:t xml:space="preserve"> </w:t>
      </w:r>
      <w:r w:rsidR="005D1B66">
        <w:rPr>
          <w:rFonts w:ascii="Times New Roman" w:eastAsia="Times New Roman" w:hAnsi="Times New Roman" w:cs="Times New Roman"/>
          <w:bCs/>
          <w:sz w:val="24"/>
          <w:szCs w:val="24"/>
        </w:rPr>
        <w:t>various</w:t>
      </w:r>
      <w:r w:rsidR="00796978">
        <w:rPr>
          <w:rFonts w:ascii="Times New Roman" w:eastAsia="Times New Roman" w:hAnsi="Times New Roman" w:cs="Times New Roman"/>
          <w:bCs/>
          <w:sz w:val="24"/>
          <w:szCs w:val="24"/>
        </w:rPr>
        <w:t xml:space="preserve"> </w:t>
      </w:r>
      <w:r w:rsidR="005D1B66">
        <w:rPr>
          <w:rFonts w:ascii="Times New Roman" w:eastAsia="Times New Roman" w:hAnsi="Times New Roman" w:cs="Times New Roman"/>
          <w:bCs/>
          <w:sz w:val="24"/>
          <w:szCs w:val="24"/>
        </w:rPr>
        <w:t xml:space="preserve">sources of </w:t>
      </w:r>
      <w:r w:rsidR="00796978">
        <w:rPr>
          <w:rFonts w:ascii="Times New Roman" w:eastAsia="Times New Roman" w:hAnsi="Times New Roman" w:cs="Times New Roman"/>
          <w:bCs/>
          <w:sz w:val="24"/>
          <w:szCs w:val="24"/>
        </w:rPr>
        <w:t>capital by</w:t>
      </w:r>
      <w:r w:rsidR="005D1B66">
        <w:rPr>
          <w:rFonts w:ascii="Times New Roman" w:eastAsia="Times New Roman" w:hAnsi="Times New Roman" w:cs="Times New Roman"/>
          <w:bCs/>
          <w:sz w:val="24"/>
          <w:szCs w:val="24"/>
        </w:rPr>
        <w:t xml:space="preserve"> a firm,</w:t>
      </w:r>
      <w:r w:rsidR="00796978">
        <w:rPr>
          <w:rFonts w:ascii="Times New Roman" w:eastAsia="Times New Roman" w:hAnsi="Times New Roman" w:cs="Times New Roman"/>
          <w:bCs/>
          <w:sz w:val="24"/>
          <w:szCs w:val="24"/>
        </w:rPr>
        <w:t xml:space="preserve"> including</w:t>
      </w:r>
      <w:r w:rsidR="005D1B66">
        <w:rPr>
          <w:rFonts w:ascii="Times New Roman" w:eastAsia="Times New Roman" w:hAnsi="Times New Roman" w:cs="Times New Roman"/>
          <w:bCs/>
          <w:sz w:val="24"/>
          <w:szCs w:val="24"/>
        </w:rPr>
        <w:t xml:space="preserve"> but not limited to</w:t>
      </w:r>
      <w:r w:rsidR="00796978">
        <w:rPr>
          <w:rFonts w:ascii="Times New Roman" w:eastAsia="Times New Roman" w:hAnsi="Times New Roman" w:cs="Times New Roman"/>
          <w:bCs/>
          <w:sz w:val="24"/>
          <w:szCs w:val="24"/>
        </w:rPr>
        <w:t xml:space="preserve"> long-term</w:t>
      </w:r>
      <w:r w:rsidR="005D1B66">
        <w:rPr>
          <w:rFonts w:ascii="Times New Roman" w:eastAsia="Times New Roman" w:hAnsi="Times New Roman" w:cs="Times New Roman"/>
          <w:bCs/>
          <w:sz w:val="24"/>
          <w:szCs w:val="24"/>
        </w:rPr>
        <w:t xml:space="preserve"> debt,</w:t>
      </w:r>
      <w:r w:rsidR="00796978">
        <w:rPr>
          <w:rFonts w:ascii="Times New Roman" w:eastAsia="Times New Roman" w:hAnsi="Times New Roman" w:cs="Times New Roman"/>
          <w:bCs/>
          <w:sz w:val="24"/>
          <w:szCs w:val="24"/>
        </w:rPr>
        <w:t xml:space="preserve"> bonds, and preferred</w:t>
      </w:r>
      <w:r w:rsidR="005D1B66">
        <w:rPr>
          <w:rFonts w:ascii="Times New Roman" w:eastAsia="Times New Roman" w:hAnsi="Times New Roman" w:cs="Times New Roman"/>
          <w:bCs/>
          <w:sz w:val="24"/>
          <w:szCs w:val="24"/>
        </w:rPr>
        <w:t xml:space="preserve"> </w:t>
      </w:r>
      <w:r w:rsidR="00796978">
        <w:rPr>
          <w:rFonts w:ascii="Times New Roman" w:eastAsia="Times New Roman" w:hAnsi="Times New Roman" w:cs="Times New Roman"/>
          <w:bCs/>
          <w:sz w:val="24"/>
          <w:szCs w:val="24"/>
        </w:rPr>
        <w:t>stocks</w:t>
      </w:r>
      <w:r w:rsidR="004321D1">
        <w:rPr>
          <w:rFonts w:ascii="Times New Roman" w:eastAsia="Times New Roman" w:hAnsi="Times New Roman" w:cs="Times New Roman"/>
          <w:bCs/>
          <w:sz w:val="24"/>
          <w:szCs w:val="24"/>
        </w:rPr>
        <w:t xml:space="preserve"> and</w:t>
      </w:r>
      <w:r w:rsidR="005D1B66">
        <w:rPr>
          <w:rFonts w:ascii="Times New Roman" w:eastAsia="Times New Roman" w:hAnsi="Times New Roman" w:cs="Times New Roman"/>
          <w:bCs/>
          <w:sz w:val="24"/>
          <w:szCs w:val="24"/>
        </w:rPr>
        <w:t xml:space="preserve"> common stocks among others. Below are the calculations for WACC</w:t>
      </w:r>
      <w:r w:rsidR="00FF658D">
        <w:rPr>
          <w:rFonts w:ascii="Times New Roman" w:eastAsia="Times New Roman" w:hAnsi="Times New Roman" w:cs="Times New Roman"/>
          <w:bCs/>
          <w:sz w:val="24"/>
          <w:szCs w:val="24"/>
        </w:rPr>
        <w:t xml:space="preserve"> and DCF</w:t>
      </w:r>
      <w:r w:rsidR="005D1B66">
        <w:rPr>
          <w:rFonts w:ascii="Times New Roman" w:eastAsia="Times New Roman" w:hAnsi="Times New Roman" w:cs="Times New Roman"/>
          <w:bCs/>
          <w:sz w:val="24"/>
          <w:szCs w:val="24"/>
        </w:rPr>
        <w:t xml:space="preserve"> for Monsanto</w:t>
      </w:r>
    </w:p>
    <w:p w:rsidR="005D1B66" w:rsidRPr="005D1B66" w:rsidRDefault="00AC35D7" w:rsidP="005D1B66">
      <w:pPr>
        <w:pStyle w:val="NormalWeb"/>
        <w:shd w:val="clear" w:color="auto" w:fill="FFFFFF"/>
        <w:spacing w:before="0" w:beforeAutospacing="0"/>
      </w:pPr>
      <w:r w:rsidRPr="005D1B66">
        <w:rPr>
          <w:rStyle w:val="formula"/>
          <w:bCs/>
        </w:rPr>
        <w:t>WACC</w:t>
      </w:r>
      <w:r w:rsidR="00796978">
        <w:rPr>
          <w:rStyle w:val="formula"/>
          <w:bCs/>
        </w:rPr>
        <w:t xml:space="preserve"> </w:t>
      </w:r>
      <w:r w:rsidRPr="005D1B66">
        <w:rPr>
          <w:rStyle w:val="formula"/>
          <w:bCs/>
        </w:rPr>
        <w:t>=</w:t>
      </w:r>
      <w:r w:rsidR="00796978">
        <w:rPr>
          <w:rStyle w:val="formula"/>
          <w:bCs/>
        </w:rPr>
        <w:t xml:space="preserve"> </w:t>
      </w:r>
      <w:r w:rsidRPr="005D1B66">
        <w:rPr>
          <w:rStyle w:val="formula"/>
          <w:bCs/>
        </w:rPr>
        <w:t>(E/V x Re)</w:t>
      </w:r>
      <w:r w:rsidR="00796978">
        <w:rPr>
          <w:rStyle w:val="formula"/>
          <w:bCs/>
        </w:rPr>
        <w:t xml:space="preserve"> </w:t>
      </w:r>
      <w:r w:rsidRPr="005D1B66">
        <w:rPr>
          <w:rStyle w:val="formula"/>
          <w:bCs/>
        </w:rPr>
        <w:t>+</w:t>
      </w:r>
      <w:r w:rsidR="00796978">
        <w:rPr>
          <w:rStyle w:val="formula"/>
          <w:bCs/>
        </w:rPr>
        <w:t xml:space="preserve"> </w:t>
      </w:r>
      <w:r w:rsidRPr="005D1B66">
        <w:rPr>
          <w:rStyle w:val="formula"/>
          <w:bCs/>
        </w:rPr>
        <w:t>((D/V x Rd)</w:t>
      </w:r>
      <w:r w:rsidR="00796978">
        <w:rPr>
          <w:rStyle w:val="formula"/>
          <w:bCs/>
        </w:rPr>
        <w:t xml:space="preserve"> </w:t>
      </w:r>
      <w:r w:rsidRPr="005D1B66">
        <w:rPr>
          <w:rStyle w:val="formula"/>
          <w:bCs/>
        </w:rPr>
        <w:t>x</w:t>
      </w:r>
      <w:r w:rsidR="00796978">
        <w:rPr>
          <w:rStyle w:val="formula"/>
          <w:bCs/>
        </w:rPr>
        <w:t xml:space="preserve"> </w:t>
      </w:r>
      <w:r w:rsidRPr="005D1B66">
        <w:rPr>
          <w:rStyle w:val="formula"/>
          <w:bCs/>
        </w:rPr>
        <w:t>(1 – T))</w:t>
      </w:r>
    </w:p>
    <w:p w:rsidR="005D1B66" w:rsidRPr="007265A6" w:rsidRDefault="00AC35D7" w:rsidP="005D1B66">
      <w:pPr>
        <w:pStyle w:val="NormalWeb"/>
        <w:shd w:val="clear" w:color="auto" w:fill="FFFFFF"/>
        <w:spacing w:before="0" w:beforeAutospacing="0"/>
      </w:pPr>
      <w:r w:rsidRPr="007265A6">
        <w:t>Where:</w:t>
      </w:r>
    </w:p>
    <w:p w:rsidR="005D1B66" w:rsidRPr="007265A6" w:rsidRDefault="00AC35D7" w:rsidP="004321D1">
      <w:pPr>
        <w:pStyle w:val="NormalWeb"/>
        <w:numPr>
          <w:ilvl w:val="0"/>
          <w:numId w:val="1"/>
        </w:numPr>
        <w:shd w:val="clear" w:color="auto" w:fill="FFFFFF"/>
        <w:spacing w:before="0" w:beforeAutospacing="0" w:line="360" w:lineRule="auto"/>
      </w:pPr>
      <w:r w:rsidRPr="007265A6">
        <w:t>D = market value of the firm’s debt</w:t>
      </w:r>
    </w:p>
    <w:p w:rsidR="005D1B66" w:rsidRPr="007265A6" w:rsidRDefault="00AC35D7" w:rsidP="004321D1">
      <w:pPr>
        <w:pStyle w:val="NormalWeb"/>
        <w:numPr>
          <w:ilvl w:val="0"/>
          <w:numId w:val="1"/>
        </w:numPr>
        <w:shd w:val="clear" w:color="auto" w:fill="FFFFFF"/>
        <w:spacing w:before="0" w:beforeAutospacing="0" w:line="360" w:lineRule="auto"/>
      </w:pPr>
      <w:r w:rsidRPr="007265A6">
        <w:t>D/V = percentage of capital that is debt</w:t>
      </w:r>
    </w:p>
    <w:p w:rsidR="005D1B66" w:rsidRPr="007265A6" w:rsidRDefault="00AC35D7" w:rsidP="004321D1">
      <w:pPr>
        <w:pStyle w:val="NormalWeb"/>
        <w:numPr>
          <w:ilvl w:val="0"/>
          <w:numId w:val="1"/>
        </w:numPr>
        <w:shd w:val="clear" w:color="auto" w:fill="FFFFFF"/>
        <w:spacing w:before="0" w:beforeAutospacing="0" w:line="360" w:lineRule="auto"/>
      </w:pPr>
      <w:r w:rsidRPr="007265A6">
        <w:t xml:space="preserve">Rd = cost of debt </w:t>
      </w:r>
    </w:p>
    <w:p w:rsidR="005D1B66" w:rsidRDefault="00AC35D7" w:rsidP="004321D1">
      <w:pPr>
        <w:pStyle w:val="NormalWeb"/>
        <w:numPr>
          <w:ilvl w:val="0"/>
          <w:numId w:val="1"/>
        </w:numPr>
        <w:shd w:val="clear" w:color="auto" w:fill="FFFFFF"/>
        <w:spacing w:before="0" w:beforeAutospacing="0" w:line="360" w:lineRule="auto"/>
      </w:pPr>
      <w:r w:rsidRPr="007265A6">
        <w:t xml:space="preserve">Re = cost of equity </w:t>
      </w:r>
    </w:p>
    <w:p w:rsidR="005D1B66" w:rsidRPr="007265A6" w:rsidRDefault="00AC35D7" w:rsidP="004321D1">
      <w:pPr>
        <w:pStyle w:val="NormalWeb"/>
        <w:numPr>
          <w:ilvl w:val="0"/>
          <w:numId w:val="1"/>
        </w:numPr>
        <w:shd w:val="clear" w:color="auto" w:fill="FFFFFF"/>
        <w:spacing w:before="0" w:beforeAutospacing="0" w:line="360" w:lineRule="auto"/>
      </w:pPr>
      <w:r w:rsidRPr="007265A6">
        <w:t xml:space="preserve">E = market value of the firm’s equity </w:t>
      </w:r>
    </w:p>
    <w:p w:rsidR="005D1B66" w:rsidRPr="007265A6" w:rsidRDefault="00AC35D7" w:rsidP="004321D1">
      <w:pPr>
        <w:pStyle w:val="NormalWeb"/>
        <w:numPr>
          <w:ilvl w:val="0"/>
          <w:numId w:val="1"/>
        </w:numPr>
        <w:shd w:val="clear" w:color="auto" w:fill="FFFFFF"/>
        <w:spacing w:before="0" w:beforeAutospacing="0" w:line="360" w:lineRule="auto"/>
      </w:pPr>
      <w:r w:rsidRPr="007265A6">
        <w:t>T = tax rate</w:t>
      </w:r>
    </w:p>
    <w:p w:rsidR="005D1B66" w:rsidRDefault="00AC35D7" w:rsidP="004321D1">
      <w:pPr>
        <w:pStyle w:val="NormalWeb"/>
        <w:numPr>
          <w:ilvl w:val="0"/>
          <w:numId w:val="1"/>
        </w:numPr>
        <w:shd w:val="clear" w:color="auto" w:fill="FFFFFF"/>
        <w:spacing w:before="0" w:beforeAutospacing="0" w:line="360" w:lineRule="auto"/>
      </w:pPr>
      <w:r w:rsidRPr="007265A6">
        <w:t xml:space="preserve">V = total value of capital </w:t>
      </w:r>
    </w:p>
    <w:p w:rsidR="005D1B66" w:rsidRPr="007265A6" w:rsidRDefault="00AC35D7" w:rsidP="004321D1">
      <w:pPr>
        <w:pStyle w:val="NormalWeb"/>
        <w:numPr>
          <w:ilvl w:val="0"/>
          <w:numId w:val="1"/>
        </w:numPr>
        <w:shd w:val="clear" w:color="auto" w:fill="FFFFFF"/>
        <w:spacing w:before="0" w:beforeAutospacing="0" w:line="360" w:lineRule="auto"/>
      </w:pPr>
      <w:r w:rsidRPr="007265A6">
        <w:lastRenderedPageBreak/>
        <w:t>E/V = percentage of capital that is equity</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340"/>
        <w:gridCol w:w="1350"/>
        <w:gridCol w:w="2040"/>
      </w:tblGrid>
      <w:tr w:rsidR="00F34EBC" w:rsidTr="000F1F85">
        <w:trPr>
          <w:trHeight w:val="315"/>
        </w:trPr>
        <w:tc>
          <w:tcPr>
            <w:tcW w:w="4315" w:type="dxa"/>
            <w:shd w:val="clear" w:color="auto" w:fill="auto"/>
            <w:noWrap/>
            <w:vAlign w:val="bottom"/>
          </w:tcPr>
          <w:p w:rsidR="005D1B66" w:rsidRPr="005D1B66" w:rsidRDefault="00AC35D7" w:rsidP="005D1B66">
            <w:pPr>
              <w:spacing w:line="480" w:lineRule="auto"/>
              <w:rPr>
                <w:rFonts w:eastAsia="Times New Roman"/>
                <w:b/>
              </w:rPr>
            </w:pPr>
            <w:r w:rsidRPr="005D1B66">
              <w:rPr>
                <w:rFonts w:eastAsia="Times New Roman"/>
                <w:b/>
              </w:rPr>
              <w:t xml:space="preserve">Entry </w:t>
            </w:r>
          </w:p>
        </w:tc>
        <w:tc>
          <w:tcPr>
            <w:tcW w:w="2340" w:type="dxa"/>
            <w:shd w:val="clear" w:color="auto" w:fill="auto"/>
            <w:noWrap/>
            <w:vAlign w:val="bottom"/>
          </w:tcPr>
          <w:p w:rsidR="005D1B66" w:rsidRPr="000F1F85" w:rsidRDefault="00AC35D7" w:rsidP="005D1B66">
            <w:pPr>
              <w:spacing w:line="480" w:lineRule="auto"/>
              <w:jc w:val="right"/>
              <w:rPr>
                <w:rFonts w:eastAsia="Times New Roman"/>
                <w:b/>
              </w:rPr>
            </w:pPr>
            <w:r w:rsidRPr="000F1F85">
              <w:rPr>
                <w:rFonts w:eastAsia="Times New Roman"/>
                <w:b/>
              </w:rPr>
              <w:t>Calculated Figure</w:t>
            </w:r>
            <w:r>
              <w:rPr>
                <w:rFonts w:eastAsia="Times New Roman"/>
                <w:b/>
              </w:rPr>
              <w:t>s</w:t>
            </w:r>
          </w:p>
        </w:tc>
        <w:tc>
          <w:tcPr>
            <w:tcW w:w="1350" w:type="dxa"/>
            <w:shd w:val="clear" w:color="auto" w:fill="auto"/>
            <w:noWrap/>
            <w:vAlign w:val="bottom"/>
          </w:tcPr>
          <w:p w:rsidR="005D1B66" w:rsidRPr="000F1F85" w:rsidRDefault="00AC35D7" w:rsidP="005D1B66">
            <w:pPr>
              <w:spacing w:line="480" w:lineRule="auto"/>
              <w:rPr>
                <w:rFonts w:eastAsia="Times New Roman"/>
                <w:b/>
              </w:rPr>
            </w:pPr>
            <w:r w:rsidRPr="000F1F85">
              <w:rPr>
                <w:rFonts w:eastAsia="Times New Roman"/>
                <w:b/>
              </w:rPr>
              <w:t>From Formula</w:t>
            </w:r>
          </w:p>
        </w:tc>
        <w:tc>
          <w:tcPr>
            <w:tcW w:w="2040" w:type="dxa"/>
            <w:shd w:val="clear" w:color="auto" w:fill="auto"/>
            <w:noWrap/>
            <w:vAlign w:val="bottom"/>
          </w:tcPr>
          <w:p w:rsidR="005D1B66" w:rsidRPr="000F1F85" w:rsidRDefault="00AC35D7" w:rsidP="005D1B66">
            <w:pPr>
              <w:spacing w:line="480" w:lineRule="auto"/>
              <w:jc w:val="right"/>
              <w:rPr>
                <w:rFonts w:eastAsia="Times New Roman"/>
                <w:b/>
              </w:rPr>
            </w:pPr>
            <w:r w:rsidRPr="000F1F85">
              <w:rPr>
                <w:rFonts w:eastAsia="Times New Roman"/>
                <w:b/>
              </w:rPr>
              <w:t>Figures</w:t>
            </w:r>
          </w:p>
        </w:tc>
      </w:tr>
      <w:tr w:rsidR="00F34EBC" w:rsidTr="000F1F85">
        <w:trPr>
          <w:trHeight w:val="315"/>
        </w:trPr>
        <w:tc>
          <w:tcPr>
            <w:tcW w:w="4315"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Debt</w:t>
            </w: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12359333</w:t>
            </w:r>
          </w:p>
        </w:tc>
        <w:tc>
          <w:tcPr>
            <w:tcW w:w="1350"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D</w:t>
            </w:r>
          </w:p>
        </w:tc>
        <w:tc>
          <w:tcPr>
            <w:tcW w:w="20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12359333</w:t>
            </w:r>
          </w:p>
        </w:tc>
      </w:tr>
      <w:tr w:rsidR="00F34EBC" w:rsidTr="000F1F85">
        <w:trPr>
          <w:trHeight w:val="315"/>
        </w:trPr>
        <w:tc>
          <w:tcPr>
            <w:tcW w:w="4315"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Equity Holdings</w:t>
            </w: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9141333</w:t>
            </w:r>
          </w:p>
        </w:tc>
        <w:tc>
          <w:tcPr>
            <w:tcW w:w="1350"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D/V</w:t>
            </w:r>
          </w:p>
        </w:tc>
        <w:tc>
          <w:tcPr>
            <w:tcW w:w="20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0.574835</w:t>
            </w:r>
          </w:p>
        </w:tc>
      </w:tr>
      <w:tr w:rsidR="00F34EBC" w:rsidTr="000F1F85">
        <w:trPr>
          <w:trHeight w:val="300"/>
        </w:trPr>
        <w:tc>
          <w:tcPr>
            <w:tcW w:w="4315"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Cost of Debt</w:t>
            </w: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0.12</w:t>
            </w:r>
          </w:p>
        </w:tc>
        <w:tc>
          <w:tcPr>
            <w:tcW w:w="1350"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E</w:t>
            </w:r>
          </w:p>
        </w:tc>
        <w:tc>
          <w:tcPr>
            <w:tcW w:w="20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9141333</w:t>
            </w:r>
          </w:p>
        </w:tc>
      </w:tr>
      <w:tr w:rsidR="00F34EBC" w:rsidTr="000F1F85">
        <w:trPr>
          <w:trHeight w:val="300"/>
        </w:trPr>
        <w:tc>
          <w:tcPr>
            <w:tcW w:w="4315"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Tax Rate</w:t>
            </w: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0.35</w:t>
            </w:r>
          </w:p>
        </w:tc>
        <w:tc>
          <w:tcPr>
            <w:tcW w:w="1350"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E/V</w:t>
            </w:r>
          </w:p>
        </w:tc>
        <w:tc>
          <w:tcPr>
            <w:tcW w:w="20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0.425165</w:t>
            </w:r>
          </w:p>
        </w:tc>
      </w:tr>
      <w:tr w:rsidR="00F34EBC" w:rsidTr="000F1F85">
        <w:trPr>
          <w:trHeight w:val="300"/>
        </w:trPr>
        <w:tc>
          <w:tcPr>
            <w:tcW w:w="4315"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Percentage of capital that is debt</w:t>
            </w: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0.574834891</w:t>
            </w:r>
          </w:p>
        </w:tc>
        <w:tc>
          <w:tcPr>
            <w:tcW w:w="1350"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Rd</w:t>
            </w:r>
          </w:p>
        </w:tc>
        <w:tc>
          <w:tcPr>
            <w:tcW w:w="20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0.12</w:t>
            </w:r>
          </w:p>
        </w:tc>
      </w:tr>
      <w:tr w:rsidR="00F34EBC" w:rsidTr="000F1F85">
        <w:trPr>
          <w:trHeight w:val="300"/>
        </w:trPr>
        <w:tc>
          <w:tcPr>
            <w:tcW w:w="4315"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Percentage of capital that is equity</w:t>
            </w: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0.425165109</w:t>
            </w:r>
          </w:p>
        </w:tc>
        <w:tc>
          <w:tcPr>
            <w:tcW w:w="1350"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Re</w:t>
            </w:r>
          </w:p>
        </w:tc>
        <w:tc>
          <w:tcPr>
            <w:tcW w:w="20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0.1493</w:t>
            </w:r>
          </w:p>
        </w:tc>
      </w:tr>
      <w:tr w:rsidR="00F34EBC" w:rsidTr="000F1F85">
        <w:trPr>
          <w:trHeight w:val="315"/>
        </w:trPr>
        <w:tc>
          <w:tcPr>
            <w:tcW w:w="4315"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Cost of Equity</w:t>
            </w: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0.1493</w:t>
            </w:r>
          </w:p>
        </w:tc>
        <w:tc>
          <w:tcPr>
            <w:tcW w:w="1350"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T</w:t>
            </w:r>
          </w:p>
        </w:tc>
        <w:tc>
          <w:tcPr>
            <w:tcW w:w="20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0.35</w:t>
            </w:r>
          </w:p>
        </w:tc>
      </w:tr>
      <w:tr w:rsidR="00F34EBC" w:rsidTr="000F1F85">
        <w:trPr>
          <w:trHeight w:val="300"/>
        </w:trPr>
        <w:tc>
          <w:tcPr>
            <w:tcW w:w="4315"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The total value of capital</w:t>
            </w: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21500666</w:t>
            </w:r>
          </w:p>
        </w:tc>
        <w:tc>
          <w:tcPr>
            <w:tcW w:w="1350"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V</w:t>
            </w:r>
          </w:p>
        </w:tc>
        <w:tc>
          <w:tcPr>
            <w:tcW w:w="20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21500666</w:t>
            </w:r>
          </w:p>
        </w:tc>
      </w:tr>
      <w:tr w:rsidR="00F34EBC" w:rsidTr="000F1F85">
        <w:trPr>
          <w:trHeight w:val="300"/>
        </w:trPr>
        <w:tc>
          <w:tcPr>
            <w:tcW w:w="4315" w:type="dxa"/>
            <w:shd w:val="clear" w:color="auto" w:fill="auto"/>
            <w:noWrap/>
            <w:vAlign w:val="bottom"/>
            <w:hideMark/>
          </w:tcPr>
          <w:p w:rsidR="005D1B66" w:rsidRPr="006907C8" w:rsidRDefault="005D1B66" w:rsidP="005D1B66">
            <w:pPr>
              <w:spacing w:line="480" w:lineRule="auto"/>
              <w:jc w:val="right"/>
              <w:rPr>
                <w:rFonts w:eastAsia="Times New Roman"/>
              </w:rPr>
            </w:pPr>
          </w:p>
        </w:tc>
        <w:tc>
          <w:tcPr>
            <w:tcW w:w="2340" w:type="dxa"/>
            <w:shd w:val="clear" w:color="auto" w:fill="auto"/>
            <w:noWrap/>
            <w:vAlign w:val="bottom"/>
            <w:hideMark/>
          </w:tcPr>
          <w:p w:rsidR="005D1B66" w:rsidRPr="006907C8" w:rsidRDefault="005D1B66" w:rsidP="005D1B66">
            <w:pPr>
              <w:spacing w:line="480" w:lineRule="auto"/>
              <w:rPr>
                <w:rFonts w:eastAsia="Times New Roman"/>
              </w:rPr>
            </w:pPr>
          </w:p>
        </w:tc>
        <w:tc>
          <w:tcPr>
            <w:tcW w:w="1350" w:type="dxa"/>
            <w:shd w:val="clear" w:color="auto" w:fill="auto"/>
            <w:noWrap/>
            <w:vAlign w:val="bottom"/>
            <w:hideMark/>
          </w:tcPr>
          <w:p w:rsidR="005D1B66" w:rsidRPr="006907C8" w:rsidRDefault="005D1B66" w:rsidP="005D1B66">
            <w:pPr>
              <w:spacing w:line="480" w:lineRule="auto"/>
              <w:rPr>
                <w:rFonts w:eastAsia="Times New Roman"/>
              </w:rPr>
            </w:pPr>
          </w:p>
        </w:tc>
        <w:tc>
          <w:tcPr>
            <w:tcW w:w="2040" w:type="dxa"/>
            <w:shd w:val="clear" w:color="auto" w:fill="auto"/>
            <w:noWrap/>
            <w:vAlign w:val="bottom"/>
            <w:hideMark/>
          </w:tcPr>
          <w:p w:rsidR="005D1B66" w:rsidRPr="006907C8" w:rsidRDefault="005D1B66" w:rsidP="005D1B66">
            <w:pPr>
              <w:spacing w:line="480" w:lineRule="auto"/>
              <w:rPr>
                <w:rFonts w:eastAsia="Times New Roman"/>
              </w:rPr>
            </w:pPr>
          </w:p>
        </w:tc>
      </w:tr>
      <w:tr w:rsidR="00F34EBC" w:rsidTr="000F1F85">
        <w:trPr>
          <w:trHeight w:val="300"/>
        </w:trPr>
        <w:tc>
          <w:tcPr>
            <w:tcW w:w="4315" w:type="dxa"/>
            <w:shd w:val="clear" w:color="auto" w:fill="auto"/>
            <w:noWrap/>
            <w:vAlign w:val="bottom"/>
            <w:hideMark/>
          </w:tcPr>
          <w:p w:rsidR="005D1B66" w:rsidRPr="006907C8" w:rsidRDefault="00AC35D7" w:rsidP="005D1B66">
            <w:pPr>
              <w:spacing w:line="480" w:lineRule="auto"/>
              <w:rPr>
                <w:rFonts w:eastAsia="Times New Roman"/>
              </w:rPr>
            </w:pPr>
            <w:r w:rsidRPr="006907C8">
              <w:rPr>
                <w:rFonts w:eastAsia="Times New Roman"/>
              </w:rPr>
              <w:t>WACC</w:t>
            </w: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0.108314272</w:t>
            </w:r>
          </w:p>
        </w:tc>
        <w:tc>
          <w:tcPr>
            <w:tcW w:w="1350" w:type="dxa"/>
            <w:shd w:val="clear" w:color="auto" w:fill="auto"/>
            <w:noWrap/>
            <w:vAlign w:val="bottom"/>
            <w:hideMark/>
          </w:tcPr>
          <w:p w:rsidR="005D1B66" w:rsidRPr="006907C8" w:rsidRDefault="005D1B66" w:rsidP="005D1B66">
            <w:pPr>
              <w:spacing w:line="480" w:lineRule="auto"/>
              <w:rPr>
                <w:rFonts w:eastAsia="Times New Roman"/>
              </w:rPr>
            </w:pPr>
          </w:p>
        </w:tc>
        <w:tc>
          <w:tcPr>
            <w:tcW w:w="2040" w:type="dxa"/>
            <w:shd w:val="clear" w:color="auto" w:fill="auto"/>
            <w:noWrap/>
            <w:vAlign w:val="bottom"/>
            <w:hideMark/>
          </w:tcPr>
          <w:p w:rsidR="005D1B66" w:rsidRPr="006907C8" w:rsidRDefault="005D1B66" w:rsidP="005D1B66">
            <w:pPr>
              <w:spacing w:line="480" w:lineRule="auto"/>
              <w:rPr>
                <w:rFonts w:eastAsia="Times New Roman"/>
              </w:rPr>
            </w:pPr>
          </w:p>
        </w:tc>
      </w:tr>
      <w:tr w:rsidR="00F34EBC" w:rsidTr="000F1F85">
        <w:trPr>
          <w:trHeight w:val="300"/>
        </w:trPr>
        <w:tc>
          <w:tcPr>
            <w:tcW w:w="4315" w:type="dxa"/>
            <w:shd w:val="clear" w:color="auto" w:fill="auto"/>
            <w:noWrap/>
            <w:vAlign w:val="bottom"/>
            <w:hideMark/>
          </w:tcPr>
          <w:p w:rsidR="005D1B66" w:rsidRPr="006907C8" w:rsidRDefault="005D1B66" w:rsidP="005D1B66">
            <w:pPr>
              <w:spacing w:line="480" w:lineRule="auto"/>
              <w:rPr>
                <w:rFonts w:eastAsia="Times New Roman"/>
              </w:rPr>
            </w:pPr>
          </w:p>
        </w:tc>
        <w:tc>
          <w:tcPr>
            <w:tcW w:w="2340" w:type="dxa"/>
            <w:shd w:val="clear" w:color="auto" w:fill="auto"/>
            <w:noWrap/>
            <w:vAlign w:val="bottom"/>
            <w:hideMark/>
          </w:tcPr>
          <w:p w:rsidR="005D1B66" w:rsidRPr="006907C8" w:rsidRDefault="00AC35D7" w:rsidP="005D1B66">
            <w:pPr>
              <w:spacing w:line="480" w:lineRule="auto"/>
              <w:jc w:val="right"/>
              <w:rPr>
                <w:rFonts w:eastAsia="Times New Roman"/>
              </w:rPr>
            </w:pPr>
            <w:r w:rsidRPr="006907C8">
              <w:rPr>
                <w:rFonts w:eastAsia="Times New Roman"/>
              </w:rPr>
              <w:t>10.83%</w:t>
            </w:r>
          </w:p>
        </w:tc>
        <w:tc>
          <w:tcPr>
            <w:tcW w:w="1350" w:type="dxa"/>
            <w:shd w:val="clear" w:color="auto" w:fill="auto"/>
            <w:noWrap/>
            <w:vAlign w:val="bottom"/>
            <w:hideMark/>
          </w:tcPr>
          <w:p w:rsidR="005D1B66" w:rsidRPr="006907C8" w:rsidRDefault="005D1B66" w:rsidP="005D1B66">
            <w:pPr>
              <w:spacing w:line="480" w:lineRule="auto"/>
              <w:rPr>
                <w:rFonts w:eastAsia="Times New Roman"/>
              </w:rPr>
            </w:pPr>
          </w:p>
        </w:tc>
        <w:tc>
          <w:tcPr>
            <w:tcW w:w="2040" w:type="dxa"/>
            <w:shd w:val="clear" w:color="auto" w:fill="auto"/>
            <w:noWrap/>
            <w:vAlign w:val="bottom"/>
            <w:hideMark/>
          </w:tcPr>
          <w:p w:rsidR="005D1B66" w:rsidRPr="006907C8" w:rsidRDefault="005D1B66" w:rsidP="005D1B66">
            <w:pPr>
              <w:spacing w:line="480" w:lineRule="auto"/>
              <w:rPr>
                <w:rFonts w:eastAsia="Times New Roman"/>
              </w:rPr>
            </w:pPr>
          </w:p>
        </w:tc>
      </w:tr>
    </w:tbl>
    <w:p w:rsidR="005D1B66" w:rsidRPr="007265A6" w:rsidRDefault="005D1B66" w:rsidP="005D1B66"/>
    <w:p w:rsidR="000F1F85" w:rsidRDefault="00AC35D7" w:rsidP="004321D1">
      <w:pPr>
        <w:jc w:val="center"/>
      </w:pPr>
      <w:r w:rsidRPr="004321D1">
        <w:rPr>
          <w:noProof/>
        </w:rPr>
        <w:drawing>
          <wp:inline distT="0" distB="0" distL="0" distR="0">
            <wp:extent cx="4314825" cy="610240"/>
            <wp:effectExtent l="0" t="0" r="0" b="0"/>
            <wp:docPr id="2" name="Picture 2" descr="Discounted Cash Flow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0772" name="Picture 1" descr="Discounted Cash Flow Equation"/>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366215" cy="617508"/>
                    </a:xfrm>
                    <a:prstGeom prst="rect">
                      <a:avLst/>
                    </a:prstGeom>
                    <a:noFill/>
                    <a:ln>
                      <a:noFill/>
                    </a:ln>
                  </pic:spPr>
                </pic:pic>
              </a:graphicData>
            </a:graphic>
          </wp:inline>
        </w:drawing>
      </w:r>
    </w:p>
    <w:p w:rsidR="004321D1" w:rsidRDefault="004321D1" w:rsidP="004321D1">
      <w:pPr>
        <w:jc w:val="center"/>
      </w:pPr>
    </w:p>
    <w:p w:rsidR="004321D1" w:rsidRPr="007265A6" w:rsidRDefault="004321D1" w:rsidP="004321D1">
      <w:pPr>
        <w:jc w:val="center"/>
      </w:pPr>
    </w:p>
    <w:tbl>
      <w:tblPr>
        <w:tblW w:w="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060"/>
      </w:tblGrid>
      <w:tr w:rsidR="00F34EBC" w:rsidTr="004321D1">
        <w:trPr>
          <w:trHeight w:val="300"/>
          <w:jc w:val="center"/>
        </w:trPr>
        <w:tc>
          <w:tcPr>
            <w:tcW w:w="3220" w:type="dxa"/>
            <w:shd w:val="clear" w:color="auto" w:fill="auto"/>
            <w:noWrap/>
            <w:vAlign w:val="bottom"/>
            <w:hideMark/>
          </w:tcPr>
          <w:p w:rsidR="005D1B66" w:rsidRPr="0033385B" w:rsidRDefault="00AC35D7" w:rsidP="004321D1">
            <w:pPr>
              <w:spacing w:line="360" w:lineRule="auto"/>
              <w:rPr>
                <w:rFonts w:eastAsia="Times New Roman"/>
              </w:rPr>
            </w:pPr>
            <w:r w:rsidRPr="0033385B">
              <w:rPr>
                <w:rFonts w:eastAsia="Times New Roman"/>
              </w:rPr>
              <w:t>(1+R)^1</w:t>
            </w:r>
          </w:p>
        </w:tc>
        <w:tc>
          <w:tcPr>
            <w:tcW w:w="2060" w:type="dxa"/>
            <w:shd w:val="clear" w:color="auto" w:fill="auto"/>
            <w:noWrap/>
            <w:vAlign w:val="bottom"/>
            <w:hideMark/>
          </w:tcPr>
          <w:p w:rsidR="005D1B66" w:rsidRPr="0033385B" w:rsidRDefault="00AC35D7" w:rsidP="004321D1">
            <w:pPr>
              <w:spacing w:line="360" w:lineRule="auto"/>
              <w:jc w:val="right"/>
              <w:rPr>
                <w:rFonts w:eastAsia="Times New Roman"/>
              </w:rPr>
            </w:pPr>
            <w:r w:rsidRPr="0033385B">
              <w:rPr>
                <w:rFonts w:eastAsia="Times New Roman"/>
              </w:rPr>
              <w:t>1.108314272</w:t>
            </w:r>
          </w:p>
        </w:tc>
      </w:tr>
      <w:tr w:rsidR="00F34EBC" w:rsidTr="004321D1">
        <w:trPr>
          <w:trHeight w:val="300"/>
          <w:jc w:val="center"/>
        </w:trPr>
        <w:tc>
          <w:tcPr>
            <w:tcW w:w="3220" w:type="dxa"/>
            <w:shd w:val="clear" w:color="auto" w:fill="auto"/>
            <w:noWrap/>
            <w:vAlign w:val="bottom"/>
            <w:hideMark/>
          </w:tcPr>
          <w:p w:rsidR="005D1B66" w:rsidRPr="0033385B" w:rsidRDefault="00AC35D7" w:rsidP="004321D1">
            <w:pPr>
              <w:spacing w:line="360" w:lineRule="auto"/>
              <w:rPr>
                <w:rFonts w:eastAsia="Times New Roman"/>
              </w:rPr>
            </w:pPr>
            <w:r w:rsidRPr="0033385B">
              <w:rPr>
                <w:rFonts w:eastAsia="Times New Roman"/>
              </w:rPr>
              <w:t>(1+R)^2</w:t>
            </w:r>
          </w:p>
        </w:tc>
        <w:tc>
          <w:tcPr>
            <w:tcW w:w="2060" w:type="dxa"/>
            <w:shd w:val="clear" w:color="auto" w:fill="auto"/>
            <w:noWrap/>
            <w:vAlign w:val="bottom"/>
            <w:hideMark/>
          </w:tcPr>
          <w:p w:rsidR="005D1B66" w:rsidRPr="0033385B" w:rsidRDefault="00AC35D7" w:rsidP="004321D1">
            <w:pPr>
              <w:spacing w:line="360" w:lineRule="auto"/>
              <w:jc w:val="right"/>
              <w:rPr>
                <w:rFonts w:eastAsia="Times New Roman"/>
              </w:rPr>
            </w:pPr>
            <w:r w:rsidRPr="0033385B">
              <w:rPr>
                <w:rFonts w:eastAsia="Times New Roman"/>
              </w:rPr>
              <w:t>1.228360526</w:t>
            </w:r>
          </w:p>
        </w:tc>
      </w:tr>
      <w:tr w:rsidR="00F34EBC" w:rsidTr="004321D1">
        <w:trPr>
          <w:trHeight w:val="300"/>
          <w:jc w:val="center"/>
        </w:trPr>
        <w:tc>
          <w:tcPr>
            <w:tcW w:w="3220" w:type="dxa"/>
            <w:shd w:val="clear" w:color="auto" w:fill="auto"/>
            <w:noWrap/>
            <w:vAlign w:val="bottom"/>
            <w:hideMark/>
          </w:tcPr>
          <w:p w:rsidR="005D1B66" w:rsidRPr="0033385B" w:rsidRDefault="00AC35D7" w:rsidP="004321D1">
            <w:pPr>
              <w:spacing w:line="360" w:lineRule="auto"/>
              <w:rPr>
                <w:rFonts w:eastAsia="Times New Roman"/>
              </w:rPr>
            </w:pPr>
            <w:r w:rsidRPr="0033385B">
              <w:rPr>
                <w:rFonts w:eastAsia="Times New Roman"/>
              </w:rPr>
              <w:t>(1+R)^3</w:t>
            </w:r>
          </w:p>
        </w:tc>
        <w:tc>
          <w:tcPr>
            <w:tcW w:w="2060" w:type="dxa"/>
            <w:shd w:val="clear" w:color="auto" w:fill="auto"/>
            <w:noWrap/>
            <w:vAlign w:val="bottom"/>
            <w:hideMark/>
          </w:tcPr>
          <w:p w:rsidR="005D1B66" w:rsidRPr="0033385B" w:rsidRDefault="00AC35D7" w:rsidP="004321D1">
            <w:pPr>
              <w:spacing w:line="360" w:lineRule="auto"/>
              <w:jc w:val="right"/>
              <w:rPr>
                <w:rFonts w:eastAsia="Times New Roman"/>
              </w:rPr>
            </w:pPr>
            <w:r w:rsidRPr="0033385B">
              <w:rPr>
                <w:rFonts w:eastAsia="Times New Roman"/>
              </w:rPr>
              <w:t>1.361409503</w:t>
            </w:r>
          </w:p>
        </w:tc>
      </w:tr>
      <w:tr w:rsidR="00F34EBC" w:rsidTr="004321D1">
        <w:trPr>
          <w:trHeight w:val="300"/>
          <w:jc w:val="center"/>
        </w:trPr>
        <w:tc>
          <w:tcPr>
            <w:tcW w:w="3220" w:type="dxa"/>
            <w:shd w:val="clear" w:color="auto" w:fill="auto"/>
            <w:noWrap/>
            <w:vAlign w:val="bottom"/>
            <w:hideMark/>
          </w:tcPr>
          <w:p w:rsidR="005D1B66" w:rsidRPr="0033385B" w:rsidRDefault="00AC35D7" w:rsidP="004321D1">
            <w:pPr>
              <w:spacing w:line="360" w:lineRule="auto"/>
              <w:rPr>
                <w:rFonts w:eastAsia="Times New Roman"/>
              </w:rPr>
            </w:pPr>
            <w:r w:rsidRPr="0033385B">
              <w:rPr>
                <w:rFonts w:eastAsia="Times New Roman"/>
              </w:rPr>
              <w:t xml:space="preserve">CF1 </w:t>
            </w:r>
          </w:p>
        </w:tc>
        <w:tc>
          <w:tcPr>
            <w:tcW w:w="2060" w:type="dxa"/>
            <w:shd w:val="clear" w:color="auto" w:fill="auto"/>
            <w:noWrap/>
            <w:vAlign w:val="bottom"/>
            <w:hideMark/>
          </w:tcPr>
          <w:p w:rsidR="005D1B66" w:rsidRPr="0033385B" w:rsidRDefault="00AC35D7" w:rsidP="004321D1">
            <w:pPr>
              <w:spacing w:line="360" w:lineRule="auto"/>
              <w:jc w:val="right"/>
              <w:rPr>
                <w:rFonts w:eastAsia="Times New Roman"/>
              </w:rPr>
            </w:pPr>
            <w:r w:rsidRPr="0033385B">
              <w:rPr>
                <w:rFonts w:eastAsia="Times New Roman"/>
              </w:rPr>
              <w:t>385,000</w:t>
            </w:r>
          </w:p>
        </w:tc>
      </w:tr>
      <w:tr w:rsidR="00F34EBC" w:rsidTr="004321D1">
        <w:trPr>
          <w:trHeight w:val="300"/>
          <w:jc w:val="center"/>
        </w:trPr>
        <w:tc>
          <w:tcPr>
            <w:tcW w:w="3220" w:type="dxa"/>
            <w:shd w:val="clear" w:color="auto" w:fill="auto"/>
            <w:noWrap/>
            <w:vAlign w:val="bottom"/>
            <w:hideMark/>
          </w:tcPr>
          <w:p w:rsidR="005D1B66" w:rsidRPr="0033385B" w:rsidRDefault="00AC35D7" w:rsidP="004321D1">
            <w:pPr>
              <w:spacing w:line="360" w:lineRule="auto"/>
              <w:rPr>
                <w:rFonts w:eastAsia="Times New Roman"/>
              </w:rPr>
            </w:pPr>
            <w:r w:rsidRPr="0033385B">
              <w:rPr>
                <w:rFonts w:eastAsia="Times New Roman"/>
              </w:rPr>
              <w:t xml:space="preserve">CF2 </w:t>
            </w:r>
          </w:p>
        </w:tc>
        <w:tc>
          <w:tcPr>
            <w:tcW w:w="2060" w:type="dxa"/>
            <w:shd w:val="clear" w:color="auto" w:fill="auto"/>
            <w:noWrap/>
            <w:vAlign w:val="bottom"/>
            <w:hideMark/>
          </w:tcPr>
          <w:p w:rsidR="005D1B66" w:rsidRPr="0033385B" w:rsidRDefault="00AC35D7" w:rsidP="004321D1">
            <w:pPr>
              <w:spacing w:line="360" w:lineRule="auto"/>
              <w:jc w:val="right"/>
              <w:rPr>
                <w:rFonts w:eastAsia="Times New Roman"/>
              </w:rPr>
            </w:pPr>
            <w:r w:rsidRPr="0033385B">
              <w:rPr>
                <w:rFonts w:eastAsia="Times New Roman"/>
              </w:rPr>
              <w:t>-1,301,000</w:t>
            </w:r>
          </w:p>
        </w:tc>
      </w:tr>
      <w:tr w:rsidR="00F34EBC" w:rsidTr="004321D1">
        <w:trPr>
          <w:trHeight w:val="300"/>
          <w:jc w:val="center"/>
        </w:trPr>
        <w:tc>
          <w:tcPr>
            <w:tcW w:w="3220" w:type="dxa"/>
            <w:shd w:val="clear" w:color="auto" w:fill="auto"/>
            <w:noWrap/>
            <w:vAlign w:val="bottom"/>
            <w:hideMark/>
          </w:tcPr>
          <w:p w:rsidR="005D1B66" w:rsidRPr="0033385B" w:rsidRDefault="00AC35D7" w:rsidP="004321D1">
            <w:pPr>
              <w:spacing w:line="360" w:lineRule="auto"/>
              <w:rPr>
                <w:rFonts w:eastAsia="Times New Roman"/>
              </w:rPr>
            </w:pPr>
            <w:r w:rsidRPr="0033385B">
              <w:rPr>
                <w:rFonts w:eastAsia="Times New Roman"/>
              </w:rPr>
              <w:t xml:space="preserve">CF3 </w:t>
            </w:r>
          </w:p>
        </w:tc>
        <w:tc>
          <w:tcPr>
            <w:tcW w:w="2060" w:type="dxa"/>
            <w:shd w:val="clear" w:color="auto" w:fill="auto"/>
            <w:noWrap/>
            <w:vAlign w:val="bottom"/>
            <w:hideMark/>
          </w:tcPr>
          <w:p w:rsidR="005D1B66" w:rsidRPr="0033385B" w:rsidRDefault="00AC35D7" w:rsidP="004321D1">
            <w:pPr>
              <w:spacing w:line="360" w:lineRule="auto"/>
              <w:jc w:val="right"/>
              <w:rPr>
                <w:rFonts w:eastAsia="Times New Roman"/>
              </w:rPr>
            </w:pPr>
            <w:r w:rsidRPr="0033385B">
              <w:rPr>
                <w:rFonts w:eastAsia="Times New Roman"/>
              </w:rPr>
              <w:t>1,334,000</w:t>
            </w:r>
          </w:p>
        </w:tc>
      </w:tr>
      <w:tr w:rsidR="00F34EBC" w:rsidTr="004321D1">
        <w:trPr>
          <w:trHeight w:val="300"/>
          <w:jc w:val="center"/>
        </w:trPr>
        <w:tc>
          <w:tcPr>
            <w:tcW w:w="3220" w:type="dxa"/>
            <w:shd w:val="clear" w:color="auto" w:fill="auto"/>
            <w:noWrap/>
            <w:vAlign w:val="bottom"/>
            <w:hideMark/>
          </w:tcPr>
          <w:p w:rsidR="005D1B66" w:rsidRPr="0033385B" w:rsidRDefault="00AC35D7" w:rsidP="004321D1">
            <w:pPr>
              <w:spacing w:line="360" w:lineRule="auto"/>
              <w:rPr>
                <w:rFonts w:eastAsia="Times New Roman"/>
              </w:rPr>
            </w:pPr>
            <w:r w:rsidRPr="0033385B">
              <w:rPr>
                <w:rFonts w:eastAsia="Times New Roman"/>
              </w:rPr>
              <w:t>DCF</w:t>
            </w:r>
          </w:p>
        </w:tc>
        <w:tc>
          <w:tcPr>
            <w:tcW w:w="2060" w:type="dxa"/>
            <w:shd w:val="clear" w:color="auto" w:fill="auto"/>
            <w:noWrap/>
            <w:vAlign w:val="bottom"/>
            <w:hideMark/>
          </w:tcPr>
          <w:p w:rsidR="005D1B66" w:rsidRPr="0033385B" w:rsidRDefault="00AC35D7" w:rsidP="004321D1">
            <w:pPr>
              <w:spacing w:line="360" w:lineRule="auto"/>
              <w:jc w:val="right"/>
              <w:rPr>
                <w:rFonts w:eastAsia="Times New Roman"/>
              </w:rPr>
            </w:pPr>
            <w:r w:rsidRPr="0033385B">
              <w:rPr>
                <w:rFonts w:eastAsia="Times New Roman"/>
              </w:rPr>
              <w:t>268</w:t>
            </w:r>
            <w:r w:rsidR="00C84358">
              <w:rPr>
                <w:rFonts w:eastAsia="Times New Roman"/>
              </w:rPr>
              <w:t>,</w:t>
            </w:r>
            <w:r w:rsidRPr="0033385B">
              <w:rPr>
                <w:rFonts w:eastAsia="Times New Roman"/>
              </w:rPr>
              <w:t>105.9106</w:t>
            </w:r>
          </w:p>
        </w:tc>
      </w:tr>
    </w:tbl>
    <w:p w:rsidR="005D1B66" w:rsidRPr="007265A6" w:rsidRDefault="005D1B66" w:rsidP="005D1B66"/>
    <w:p w:rsidR="005D1B66" w:rsidRPr="007265A6" w:rsidRDefault="00AC35D7" w:rsidP="004321D1">
      <w:pPr>
        <w:jc w:val="center"/>
      </w:pPr>
      <w:r>
        <w:t>D</w:t>
      </w:r>
      <w:r w:rsidRPr="007265A6">
        <w:t>C</w:t>
      </w:r>
      <w:r>
        <w:t>F</w:t>
      </w:r>
      <w:r w:rsidRPr="007265A6">
        <w:t xml:space="preserve"> = </w:t>
      </w:r>
      <w:r w:rsidRPr="0033385B">
        <w:rPr>
          <w:rFonts w:eastAsia="Times New Roman"/>
        </w:rPr>
        <w:t>268</w:t>
      </w:r>
      <w:r w:rsidRPr="007265A6">
        <w:rPr>
          <w:rFonts w:eastAsia="Times New Roman"/>
        </w:rPr>
        <w:t>,</w:t>
      </w:r>
      <w:r w:rsidRPr="0033385B">
        <w:rPr>
          <w:rFonts w:eastAsia="Times New Roman"/>
        </w:rPr>
        <w:t>105.9106</w:t>
      </w:r>
    </w:p>
    <w:p w:rsidR="005D1B66" w:rsidRDefault="005D1B66" w:rsidP="00BC74B4">
      <w:pPr>
        <w:pStyle w:val="Body"/>
        <w:spacing w:after="0" w:line="480" w:lineRule="auto"/>
        <w:rPr>
          <w:rFonts w:ascii="Times New Roman" w:eastAsia="Times New Roman" w:hAnsi="Times New Roman" w:cs="Times New Roman"/>
          <w:bCs/>
          <w:sz w:val="24"/>
          <w:szCs w:val="24"/>
        </w:rPr>
      </w:pPr>
    </w:p>
    <w:p w:rsidR="000F1F85" w:rsidRPr="00BC74B4" w:rsidRDefault="00AC35D7" w:rsidP="00D0255C">
      <w:pPr>
        <w:pStyle w:val="Body"/>
        <w:spacing w:after="0" w:line="48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From the </w:t>
      </w:r>
      <w:r w:rsidR="004321D1">
        <w:rPr>
          <w:rFonts w:ascii="Times New Roman" w:eastAsia="Times New Roman" w:hAnsi="Times New Roman" w:cs="Times New Roman"/>
          <w:bCs/>
          <w:sz w:val="24"/>
          <w:szCs w:val="24"/>
        </w:rPr>
        <w:t>above</w:t>
      </w:r>
      <w:r>
        <w:rPr>
          <w:rFonts w:ascii="Times New Roman" w:eastAsia="Times New Roman" w:hAnsi="Times New Roman" w:cs="Times New Roman"/>
          <w:bCs/>
          <w:sz w:val="24"/>
          <w:szCs w:val="24"/>
        </w:rPr>
        <w:t xml:space="preserve"> calculations, the WACC obtained is </w:t>
      </w:r>
      <w:r w:rsidRPr="006907C8">
        <w:rPr>
          <w:rFonts w:ascii="Times New Roman" w:eastAsia="Times New Roman" w:hAnsi="Times New Roman" w:cs="Times New Roman"/>
          <w:color w:val="auto"/>
          <w:sz w:val="24"/>
          <w:szCs w:val="24"/>
        </w:rPr>
        <w:t>10.83%</w:t>
      </w:r>
      <w:r>
        <w:rPr>
          <w:rFonts w:ascii="Times New Roman" w:eastAsia="Times New Roman" w:hAnsi="Times New Roman" w:cs="Times New Roman"/>
          <w:color w:val="auto"/>
          <w:sz w:val="24"/>
          <w:szCs w:val="24"/>
        </w:rPr>
        <w:t>.</w:t>
      </w:r>
      <w:r w:rsidR="00D0255C">
        <w:rPr>
          <w:rFonts w:ascii="Times New Roman" w:eastAsia="Times New Roman" w:hAnsi="Times New Roman" w:cs="Times New Roman"/>
          <w:color w:val="auto"/>
          <w:sz w:val="24"/>
          <w:szCs w:val="24"/>
        </w:rPr>
        <w:t xml:space="preserve"> This </w:t>
      </w:r>
      <w:r w:rsidR="004321D1">
        <w:rPr>
          <w:rFonts w:ascii="Times New Roman" w:eastAsia="Times New Roman" w:hAnsi="Times New Roman" w:cs="Times New Roman"/>
          <w:color w:val="auto"/>
          <w:sz w:val="24"/>
          <w:szCs w:val="24"/>
        </w:rPr>
        <w:t>literally</w:t>
      </w:r>
      <w:r w:rsidR="00D0255C">
        <w:rPr>
          <w:rFonts w:ascii="Times New Roman" w:eastAsia="Times New Roman" w:hAnsi="Times New Roman" w:cs="Times New Roman"/>
          <w:color w:val="auto"/>
          <w:sz w:val="24"/>
          <w:szCs w:val="24"/>
        </w:rPr>
        <w:t xml:space="preserve"> implies that</w:t>
      </w:r>
      <w:r w:rsidR="00796978">
        <w:rPr>
          <w:rFonts w:ascii="Times New Roman" w:eastAsia="Times New Roman" w:hAnsi="Times New Roman" w:cs="Times New Roman"/>
          <w:color w:val="auto"/>
          <w:sz w:val="24"/>
          <w:szCs w:val="24"/>
        </w:rPr>
        <w:t xml:space="preserve"> </w:t>
      </w:r>
      <w:r w:rsidR="00D0255C">
        <w:rPr>
          <w:rFonts w:ascii="Times New Roman" w:eastAsia="Times New Roman" w:hAnsi="Times New Roman" w:cs="Times New Roman"/>
          <w:color w:val="auto"/>
          <w:sz w:val="24"/>
          <w:szCs w:val="24"/>
        </w:rPr>
        <w:t>for every dollar that Monsanto will</w:t>
      </w:r>
      <w:r w:rsidR="00796978">
        <w:rPr>
          <w:rFonts w:ascii="Times New Roman" w:eastAsia="Times New Roman" w:hAnsi="Times New Roman" w:cs="Times New Roman"/>
          <w:color w:val="auto"/>
          <w:sz w:val="24"/>
          <w:szCs w:val="24"/>
        </w:rPr>
        <w:t xml:space="preserve"> </w:t>
      </w:r>
      <w:r w:rsidR="00D0255C">
        <w:rPr>
          <w:rFonts w:ascii="Times New Roman" w:eastAsia="Times New Roman" w:hAnsi="Times New Roman" w:cs="Times New Roman"/>
          <w:color w:val="auto"/>
          <w:sz w:val="24"/>
          <w:szCs w:val="24"/>
        </w:rPr>
        <w:t>invest,</w:t>
      </w:r>
      <w:r w:rsidR="00796978">
        <w:rPr>
          <w:rFonts w:ascii="Times New Roman" w:eastAsia="Times New Roman" w:hAnsi="Times New Roman" w:cs="Times New Roman"/>
          <w:color w:val="auto"/>
          <w:sz w:val="24"/>
          <w:szCs w:val="24"/>
        </w:rPr>
        <w:t xml:space="preserve"> </w:t>
      </w:r>
      <w:r w:rsidR="00D0255C">
        <w:rPr>
          <w:rFonts w:ascii="Times New Roman" w:eastAsia="Times New Roman" w:hAnsi="Times New Roman" w:cs="Times New Roman"/>
          <w:color w:val="auto"/>
          <w:sz w:val="24"/>
          <w:szCs w:val="24"/>
        </w:rPr>
        <w:t>it will</w:t>
      </w:r>
      <w:r w:rsidR="00796978">
        <w:rPr>
          <w:rFonts w:ascii="Times New Roman" w:eastAsia="Times New Roman" w:hAnsi="Times New Roman" w:cs="Times New Roman"/>
          <w:color w:val="auto"/>
          <w:sz w:val="24"/>
          <w:szCs w:val="24"/>
        </w:rPr>
        <w:t xml:space="preserve"> </w:t>
      </w:r>
      <w:r w:rsidR="00D0255C">
        <w:rPr>
          <w:rFonts w:ascii="Times New Roman" w:eastAsia="Times New Roman" w:hAnsi="Times New Roman" w:cs="Times New Roman"/>
          <w:color w:val="auto"/>
          <w:sz w:val="24"/>
          <w:szCs w:val="24"/>
        </w:rPr>
        <w:t xml:space="preserve">be </w:t>
      </w:r>
      <w:r w:rsidR="004321D1">
        <w:rPr>
          <w:rFonts w:ascii="Times New Roman" w:eastAsia="Times New Roman" w:hAnsi="Times New Roman" w:cs="Times New Roman"/>
          <w:color w:val="auto"/>
          <w:sz w:val="24"/>
          <w:szCs w:val="24"/>
        </w:rPr>
        <w:t>expected</w:t>
      </w:r>
      <w:r w:rsidR="00D0255C">
        <w:rPr>
          <w:rFonts w:ascii="Times New Roman" w:eastAsia="Times New Roman" w:hAnsi="Times New Roman" w:cs="Times New Roman"/>
          <w:color w:val="auto"/>
          <w:sz w:val="24"/>
          <w:szCs w:val="24"/>
        </w:rPr>
        <w:t xml:space="preserve"> to pay </w:t>
      </w:r>
      <w:r w:rsidR="004321D1">
        <w:rPr>
          <w:rFonts w:ascii="Times New Roman" w:eastAsia="Times New Roman" w:hAnsi="Times New Roman" w:cs="Times New Roman"/>
          <w:color w:val="auto"/>
          <w:sz w:val="24"/>
          <w:szCs w:val="24"/>
        </w:rPr>
        <w:t>approximately</w:t>
      </w:r>
      <w:r w:rsidR="00D0255C">
        <w:rPr>
          <w:rFonts w:ascii="Times New Roman" w:eastAsia="Times New Roman" w:hAnsi="Times New Roman" w:cs="Times New Roman"/>
          <w:color w:val="auto"/>
          <w:sz w:val="24"/>
          <w:szCs w:val="24"/>
        </w:rPr>
        <w:t xml:space="preserve"> $0.01083 to the investors.</w:t>
      </w:r>
      <w:r w:rsidR="00796978">
        <w:rPr>
          <w:rFonts w:ascii="Times New Roman" w:eastAsia="Times New Roman" w:hAnsi="Times New Roman" w:cs="Times New Roman"/>
          <w:color w:val="auto"/>
          <w:sz w:val="24"/>
          <w:szCs w:val="24"/>
        </w:rPr>
        <w:t xml:space="preserve"> </w:t>
      </w:r>
      <w:r w:rsidR="004321D1">
        <w:rPr>
          <w:rFonts w:ascii="Times New Roman" w:eastAsia="Times New Roman" w:hAnsi="Times New Roman" w:cs="Times New Roman"/>
          <w:color w:val="auto"/>
          <w:sz w:val="24"/>
          <w:szCs w:val="24"/>
        </w:rPr>
        <w:t>A high</w:t>
      </w:r>
      <w:r w:rsidR="00D0255C">
        <w:rPr>
          <w:rFonts w:ascii="Times New Roman" w:eastAsia="Times New Roman" w:hAnsi="Times New Roman" w:cs="Times New Roman"/>
          <w:color w:val="auto"/>
          <w:sz w:val="24"/>
          <w:szCs w:val="24"/>
        </w:rPr>
        <w:t xml:space="preserve">er WACC is </w:t>
      </w:r>
      <w:r w:rsidR="004321D1">
        <w:rPr>
          <w:rFonts w:ascii="Times New Roman" w:eastAsia="Times New Roman" w:hAnsi="Times New Roman" w:cs="Times New Roman"/>
          <w:color w:val="auto"/>
          <w:sz w:val="24"/>
          <w:szCs w:val="24"/>
        </w:rPr>
        <w:t>usually</w:t>
      </w:r>
      <w:r w:rsidR="00D0255C">
        <w:rPr>
          <w:rFonts w:ascii="Times New Roman" w:eastAsia="Times New Roman" w:hAnsi="Times New Roman" w:cs="Times New Roman"/>
          <w:color w:val="auto"/>
          <w:sz w:val="24"/>
          <w:szCs w:val="24"/>
        </w:rPr>
        <w:t xml:space="preserve"> a signal that the </w:t>
      </w:r>
      <w:r w:rsidR="004321D1">
        <w:rPr>
          <w:rFonts w:ascii="Times New Roman" w:eastAsia="Times New Roman" w:hAnsi="Times New Roman" w:cs="Times New Roman"/>
          <w:color w:val="auto"/>
          <w:sz w:val="24"/>
          <w:szCs w:val="24"/>
        </w:rPr>
        <w:t>organizational</w:t>
      </w:r>
      <w:r w:rsidR="00C84358">
        <w:rPr>
          <w:rFonts w:ascii="Times New Roman" w:eastAsia="Times New Roman" w:hAnsi="Times New Roman" w:cs="Times New Roman"/>
          <w:color w:val="auto"/>
          <w:sz w:val="24"/>
          <w:szCs w:val="24"/>
        </w:rPr>
        <w:t xml:space="preserve"> </w:t>
      </w:r>
      <w:r w:rsidR="004321D1">
        <w:rPr>
          <w:rFonts w:ascii="Times New Roman" w:eastAsia="Times New Roman" w:hAnsi="Times New Roman" w:cs="Times New Roman"/>
          <w:color w:val="auto"/>
          <w:sz w:val="24"/>
          <w:szCs w:val="24"/>
        </w:rPr>
        <w:t>operations</w:t>
      </w:r>
      <w:r w:rsidR="00C84358">
        <w:rPr>
          <w:rFonts w:ascii="Times New Roman" w:eastAsia="Times New Roman" w:hAnsi="Times New Roman" w:cs="Times New Roman"/>
          <w:color w:val="auto"/>
          <w:sz w:val="24"/>
          <w:szCs w:val="24"/>
        </w:rPr>
        <w:t xml:space="preserve"> are more</w:t>
      </w:r>
      <w:r w:rsidR="00796978">
        <w:rPr>
          <w:rFonts w:ascii="Times New Roman" w:eastAsia="Times New Roman" w:hAnsi="Times New Roman" w:cs="Times New Roman"/>
          <w:color w:val="auto"/>
          <w:sz w:val="24"/>
          <w:szCs w:val="24"/>
        </w:rPr>
        <w:t xml:space="preserve"> </w:t>
      </w:r>
      <w:r w:rsidR="004321D1">
        <w:rPr>
          <w:rFonts w:ascii="Times New Roman" w:eastAsia="Times New Roman" w:hAnsi="Times New Roman" w:cs="Times New Roman"/>
          <w:color w:val="auto"/>
          <w:sz w:val="24"/>
          <w:szCs w:val="24"/>
        </w:rPr>
        <w:t>risky, as</w:t>
      </w:r>
      <w:r w:rsidR="00C84358">
        <w:rPr>
          <w:rFonts w:ascii="Times New Roman" w:eastAsia="Times New Roman" w:hAnsi="Times New Roman" w:cs="Times New Roman"/>
          <w:color w:val="auto"/>
          <w:sz w:val="24"/>
          <w:szCs w:val="24"/>
        </w:rPr>
        <w:t xml:space="preserve"> the firm must pay a </w:t>
      </w:r>
      <w:r w:rsidR="004321D1">
        <w:rPr>
          <w:rFonts w:ascii="Times New Roman" w:eastAsia="Times New Roman" w:hAnsi="Times New Roman" w:cs="Times New Roman"/>
          <w:color w:val="auto"/>
          <w:sz w:val="24"/>
          <w:szCs w:val="24"/>
        </w:rPr>
        <w:t>higher</w:t>
      </w:r>
      <w:r w:rsidR="00C84358">
        <w:rPr>
          <w:rFonts w:ascii="Times New Roman" w:eastAsia="Times New Roman" w:hAnsi="Times New Roman" w:cs="Times New Roman"/>
          <w:color w:val="auto"/>
          <w:sz w:val="24"/>
          <w:szCs w:val="24"/>
        </w:rPr>
        <w:t xml:space="preserve"> percentage for every</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 xml:space="preserve">dollar </w:t>
      </w:r>
      <w:r w:rsidR="004321D1">
        <w:rPr>
          <w:rFonts w:ascii="Times New Roman" w:eastAsia="Times New Roman" w:hAnsi="Times New Roman" w:cs="Times New Roman"/>
          <w:color w:val="auto"/>
          <w:sz w:val="24"/>
          <w:szCs w:val="24"/>
        </w:rPr>
        <w:t>invested</w:t>
      </w:r>
      <w:r w:rsidR="00C84358">
        <w:rPr>
          <w:rFonts w:ascii="Times New Roman" w:eastAsia="Times New Roman" w:hAnsi="Times New Roman" w:cs="Times New Roman"/>
          <w:color w:val="auto"/>
          <w:sz w:val="24"/>
          <w:szCs w:val="24"/>
        </w:rPr>
        <w:t>.</w:t>
      </w:r>
      <w:r w:rsidR="00796978">
        <w:rPr>
          <w:rFonts w:ascii="Times New Roman" w:eastAsia="Times New Roman" w:hAnsi="Times New Roman" w:cs="Times New Roman"/>
          <w:color w:val="auto"/>
          <w:sz w:val="24"/>
          <w:szCs w:val="24"/>
        </w:rPr>
        <w:t xml:space="preserve"> </w:t>
      </w:r>
      <w:r w:rsidR="00D0255C">
        <w:rPr>
          <w:rFonts w:ascii="Times New Roman" w:eastAsia="Times New Roman" w:hAnsi="Times New Roman" w:cs="Times New Roman"/>
          <w:color w:val="auto"/>
          <w:sz w:val="24"/>
          <w:szCs w:val="24"/>
        </w:rPr>
        <w:t xml:space="preserve">Essentially, </w:t>
      </w:r>
      <w:r w:rsidR="00FF658D">
        <w:rPr>
          <w:rFonts w:ascii="Times New Roman" w:eastAsia="Times New Roman" w:hAnsi="Times New Roman" w:cs="Times New Roman"/>
          <w:color w:val="auto"/>
          <w:sz w:val="24"/>
          <w:szCs w:val="24"/>
        </w:rPr>
        <w:t>a</w:t>
      </w:r>
      <w:r w:rsidR="00D0255C">
        <w:rPr>
          <w:rFonts w:ascii="Times New Roman" w:eastAsia="Times New Roman" w:hAnsi="Times New Roman" w:cs="Times New Roman"/>
          <w:color w:val="auto"/>
          <w:sz w:val="24"/>
          <w:szCs w:val="24"/>
        </w:rPr>
        <w:t xml:space="preserve"> WACC of 10.83% is </w:t>
      </w:r>
      <w:r w:rsidR="004321D1">
        <w:rPr>
          <w:rFonts w:ascii="Times New Roman" w:eastAsia="Times New Roman" w:hAnsi="Times New Roman" w:cs="Times New Roman"/>
          <w:color w:val="auto"/>
          <w:sz w:val="24"/>
          <w:szCs w:val="24"/>
        </w:rPr>
        <w:t>l</w:t>
      </w:r>
      <w:r w:rsidR="00D0255C">
        <w:rPr>
          <w:rFonts w:ascii="Times New Roman" w:eastAsia="Times New Roman" w:hAnsi="Times New Roman" w:cs="Times New Roman"/>
          <w:color w:val="auto"/>
          <w:sz w:val="24"/>
          <w:szCs w:val="24"/>
        </w:rPr>
        <w:t>ow and in</w:t>
      </w:r>
      <w:r w:rsidR="004321D1">
        <w:rPr>
          <w:rFonts w:ascii="Times New Roman" w:eastAsia="Times New Roman" w:hAnsi="Times New Roman" w:cs="Times New Roman"/>
          <w:color w:val="auto"/>
          <w:sz w:val="24"/>
          <w:szCs w:val="24"/>
        </w:rPr>
        <w:t xml:space="preserve">dicates </w:t>
      </w:r>
      <w:r w:rsidR="00D0255C">
        <w:rPr>
          <w:rFonts w:ascii="Times New Roman" w:eastAsia="Times New Roman" w:hAnsi="Times New Roman" w:cs="Times New Roman"/>
          <w:color w:val="auto"/>
          <w:sz w:val="24"/>
          <w:szCs w:val="24"/>
        </w:rPr>
        <w:t xml:space="preserve">a low financial </w:t>
      </w:r>
      <w:r w:rsidR="00C84358">
        <w:rPr>
          <w:rFonts w:ascii="Times New Roman" w:eastAsia="Times New Roman" w:hAnsi="Times New Roman" w:cs="Times New Roman"/>
          <w:color w:val="auto"/>
          <w:sz w:val="24"/>
          <w:szCs w:val="24"/>
        </w:rPr>
        <w:t>risk</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by the firm.</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The</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low WACC</w:t>
      </w:r>
      <w:r w:rsidR="004321D1">
        <w:rPr>
          <w:rFonts w:ascii="Times New Roman" w:eastAsia="Times New Roman" w:hAnsi="Times New Roman" w:cs="Times New Roman"/>
          <w:color w:val="auto"/>
          <w:sz w:val="24"/>
          <w:szCs w:val="24"/>
        </w:rPr>
        <w:t xml:space="preserve"> indicates</w:t>
      </w:r>
      <w:r w:rsidR="00C84358">
        <w:rPr>
          <w:rFonts w:ascii="Times New Roman" w:eastAsia="Times New Roman" w:hAnsi="Times New Roman" w:cs="Times New Roman"/>
          <w:color w:val="auto"/>
          <w:sz w:val="24"/>
          <w:szCs w:val="24"/>
        </w:rPr>
        <w:t xml:space="preserve"> that the firm is</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doing</w:t>
      </w:r>
      <w:r w:rsidR="00796978">
        <w:rPr>
          <w:rFonts w:ascii="Times New Roman" w:eastAsia="Times New Roman" w:hAnsi="Times New Roman" w:cs="Times New Roman"/>
          <w:color w:val="auto"/>
          <w:sz w:val="24"/>
          <w:szCs w:val="24"/>
        </w:rPr>
        <w:t xml:space="preserve"> </w:t>
      </w:r>
      <w:r w:rsidR="004321D1">
        <w:rPr>
          <w:rFonts w:ascii="Times New Roman" w:eastAsia="Times New Roman" w:hAnsi="Times New Roman" w:cs="Times New Roman"/>
          <w:color w:val="auto"/>
          <w:sz w:val="24"/>
          <w:szCs w:val="24"/>
        </w:rPr>
        <w:t>well</w:t>
      </w:r>
      <w:r w:rsidR="00C84358">
        <w:rPr>
          <w:rFonts w:ascii="Times New Roman" w:eastAsia="Times New Roman" w:hAnsi="Times New Roman" w:cs="Times New Roman"/>
          <w:color w:val="auto"/>
          <w:sz w:val="24"/>
          <w:szCs w:val="24"/>
        </w:rPr>
        <w:t xml:space="preserve"> in</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 xml:space="preserve">terms of capital </w:t>
      </w:r>
      <w:r w:rsidR="004321D1">
        <w:rPr>
          <w:rFonts w:ascii="Times New Roman" w:eastAsia="Times New Roman" w:hAnsi="Times New Roman" w:cs="Times New Roman"/>
          <w:color w:val="auto"/>
          <w:sz w:val="24"/>
          <w:szCs w:val="24"/>
        </w:rPr>
        <w:t>management</w:t>
      </w:r>
      <w:r w:rsidR="00FF658D">
        <w:rPr>
          <w:rFonts w:ascii="Times New Roman" w:eastAsia="Times New Roman" w:hAnsi="Times New Roman" w:cs="Times New Roman"/>
          <w:color w:val="auto"/>
          <w:sz w:val="24"/>
          <w:szCs w:val="24"/>
        </w:rPr>
        <w:t>;</w:t>
      </w:r>
      <w:r w:rsidR="00C84358">
        <w:rPr>
          <w:rFonts w:ascii="Times New Roman" w:eastAsia="Times New Roman" w:hAnsi="Times New Roman" w:cs="Times New Roman"/>
          <w:color w:val="auto"/>
          <w:sz w:val="24"/>
          <w:szCs w:val="24"/>
        </w:rPr>
        <w:t xml:space="preserve"> </w:t>
      </w:r>
      <w:r w:rsidR="004321D1">
        <w:rPr>
          <w:rFonts w:ascii="Times New Roman" w:eastAsia="Times New Roman" w:hAnsi="Times New Roman" w:cs="Times New Roman"/>
          <w:color w:val="auto"/>
          <w:sz w:val="24"/>
          <w:szCs w:val="24"/>
        </w:rPr>
        <w:t>hence</w:t>
      </w:r>
      <w:r w:rsidR="00FF658D">
        <w:rPr>
          <w:rFonts w:ascii="Times New Roman" w:eastAsia="Times New Roman" w:hAnsi="Times New Roman" w:cs="Times New Roman"/>
          <w:color w:val="auto"/>
          <w:sz w:val="24"/>
          <w:szCs w:val="24"/>
        </w:rPr>
        <w:t>, it</w:t>
      </w:r>
      <w:r w:rsidR="00C84358">
        <w:rPr>
          <w:rFonts w:ascii="Times New Roman" w:eastAsia="Times New Roman" w:hAnsi="Times New Roman" w:cs="Times New Roman"/>
          <w:color w:val="auto"/>
          <w:sz w:val="24"/>
          <w:szCs w:val="24"/>
        </w:rPr>
        <w:t xml:space="preserve"> does not necessarily need to</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 xml:space="preserve">get acquired by Bayer, as it can </w:t>
      </w:r>
      <w:r w:rsidR="004321D1">
        <w:rPr>
          <w:rFonts w:ascii="Times New Roman" w:eastAsia="Times New Roman" w:hAnsi="Times New Roman" w:cs="Times New Roman"/>
          <w:color w:val="auto"/>
          <w:sz w:val="24"/>
          <w:szCs w:val="24"/>
        </w:rPr>
        <w:t>successfully</w:t>
      </w:r>
      <w:r w:rsidR="00C84358">
        <w:rPr>
          <w:rFonts w:ascii="Times New Roman" w:eastAsia="Times New Roman" w:hAnsi="Times New Roman" w:cs="Times New Roman"/>
          <w:color w:val="auto"/>
          <w:sz w:val="24"/>
          <w:szCs w:val="24"/>
        </w:rPr>
        <w:t xml:space="preserve"> run its </w:t>
      </w:r>
      <w:r w:rsidR="004321D1">
        <w:rPr>
          <w:rFonts w:ascii="Times New Roman" w:eastAsia="Times New Roman" w:hAnsi="Times New Roman" w:cs="Times New Roman"/>
          <w:color w:val="auto"/>
          <w:sz w:val="24"/>
          <w:szCs w:val="24"/>
        </w:rPr>
        <w:t>operations</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 xml:space="preserve">and new </w:t>
      </w:r>
      <w:r w:rsidR="004321D1">
        <w:rPr>
          <w:rFonts w:ascii="Times New Roman" w:eastAsia="Times New Roman" w:hAnsi="Times New Roman" w:cs="Times New Roman"/>
          <w:color w:val="auto"/>
          <w:sz w:val="24"/>
          <w:szCs w:val="24"/>
        </w:rPr>
        <w:t>investments</w:t>
      </w:r>
      <w:r w:rsidR="00C84358">
        <w:rPr>
          <w:rFonts w:ascii="Times New Roman" w:eastAsia="Times New Roman" w:hAnsi="Times New Roman" w:cs="Times New Roman"/>
          <w:color w:val="auto"/>
          <w:sz w:val="24"/>
          <w:szCs w:val="24"/>
        </w:rPr>
        <w:t>.</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On a</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different point of view, the DCF</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obtained of</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268,105.91</w:t>
      </w:r>
      <w:r w:rsidR="00796978">
        <w:rPr>
          <w:rFonts w:ascii="Times New Roman" w:eastAsia="Times New Roman" w:hAnsi="Times New Roman" w:cs="Times New Roman"/>
          <w:color w:val="auto"/>
          <w:sz w:val="24"/>
          <w:szCs w:val="24"/>
        </w:rPr>
        <w:t xml:space="preserve"> </w:t>
      </w:r>
      <w:r w:rsidR="00C84358">
        <w:rPr>
          <w:rFonts w:ascii="Times New Roman" w:eastAsia="Times New Roman" w:hAnsi="Times New Roman" w:cs="Times New Roman"/>
          <w:color w:val="auto"/>
          <w:sz w:val="24"/>
          <w:szCs w:val="24"/>
        </w:rPr>
        <w:t xml:space="preserve">is lower than the </w:t>
      </w:r>
      <w:r w:rsidR="000C559D">
        <w:rPr>
          <w:rFonts w:ascii="Times New Roman" w:eastAsia="Times New Roman" w:hAnsi="Times New Roman" w:cs="Times New Roman"/>
          <w:color w:val="auto"/>
          <w:sz w:val="24"/>
          <w:szCs w:val="24"/>
        </w:rPr>
        <w:t xml:space="preserve">cost of the </w:t>
      </w:r>
      <w:r w:rsidR="004321D1">
        <w:rPr>
          <w:rFonts w:ascii="Times New Roman" w:eastAsia="Times New Roman" w:hAnsi="Times New Roman" w:cs="Times New Roman"/>
          <w:color w:val="auto"/>
          <w:sz w:val="24"/>
          <w:szCs w:val="24"/>
        </w:rPr>
        <w:t>alternative</w:t>
      </w:r>
      <w:r w:rsidR="000C559D">
        <w:rPr>
          <w:rFonts w:ascii="Times New Roman" w:eastAsia="Times New Roman" w:hAnsi="Times New Roman" w:cs="Times New Roman"/>
          <w:color w:val="auto"/>
          <w:sz w:val="24"/>
          <w:szCs w:val="24"/>
        </w:rPr>
        <w:t xml:space="preserve"> </w:t>
      </w:r>
      <w:r w:rsidR="004321D1">
        <w:rPr>
          <w:rFonts w:ascii="Times New Roman" w:eastAsia="Times New Roman" w:hAnsi="Times New Roman" w:cs="Times New Roman"/>
          <w:color w:val="auto"/>
          <w:sz w:val="24"/>
          <w:szCs w:val="24"/>
        </w:rPr>
        <w:t>investment</w:t>
      </w:r>
      <w:r w:rsidR="000C559D">
        <w:rPr>
          <w:rFonts w:ascii="Times New Roman" w:eastAsia="Times New Roman" w:hAnsi="Times New Roman" w:cs="Times New Roman"/>
          <w:color w:val="auto"/>
          <w:sz w:val="24"/>
          <w:szCs w:val="24"/>
        </w:rPr>
        <w:t xml:space="preserve"> of</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 xml:space="preserve">widening the </w:t>
      </w:r>
      <w:r w:rsidR="00FF658D">
        <w:rPr>
          <w:rFonts w:ascii="Times New Roman" w:eastAsia="Times New Roman" w:hAnsi="Times New Roman" w:cs="Times New Roman"/>
          <w:color w:val="auto"/>
          <w:sz w:val="24"/>
          <w:szCs w:val="24"/>
        </w:rPr>
        <w:t xml:space="preserve">existing </w:t>
      </w:r>
      <w:r w:rsidR="000C559D">
        <w:rPr>
          <w:rFonts w:ascii="Times New Roman" w:eastAsia="Times New Roman" w:hAnsi="Times New Roman" w:cs="Times New Roman"/>
          <w:color w:val="auto"/>
          <w:sz w:val="24"/>
          <w:szCs w:val="24"/>
        </w:rPr>
        <w:t>Mo</w:t>
      </w:r>
      <w:r w:rsidR="004321D1">
        <w:rPr>
          <w:rFonts w:ascii="Times New Roman" w:eastAsia="Times New Roman" w:hAnsi="Times New Roman" w:cs="Times New Roman"/>
          <w:color w:val="auto"/>
          <w:sz w:val="24"/>
          <w:szCs w:val="24"/>
        </w:rPr>
        <w:t>nsanto operations</w:t>
      </w:r>
      <w:r w:rsidR="000C559D">
        <w:rPr>
          <w:rFonts w:ascii="Times New Roman" w:eastAsia="Times New Roman" w:hAnsi="Times New Roman" w:cs="Times New Roman"/>
          <w:color w:val="auto"/>
          <w:sz w:val="24"/>
          <w:szCs w:val="24"/>
        </w:rPr>
        <w:t xml:space="preserve">, </w:t>
      </w:r>
      <w:r w:rsidR="004321D1">
        <w:rPr>
          <w:rFonts w:ascii="Times New Roman" w:eastAsia="Times New Roman" w:hAnsi="Times New Roman" w:cs="Times New Roman"/>
          <w:color w:val="auto"/>
          <w:sz w:val="24"/>
          <w:szCs w:val="24"/>
        </w:rPr>
        <w:t>which</w:t>
      </w:r>
      <w:r w:rsidR="000C559D">
        <w:rPr>
          <w:rFonts w:ascii="Times New Roman" w:eastAsia="Times New Roman" w:hAnsi="Times New Roman" w:cs="Times New Roman"/>
          <w:color w:val="auto"/>
          <w:sz w:val="24"/>
          <w:szCs w:val="24"/>
        </w:rPr>
        <w:t xml:space="preserve"> implies that</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 xml:space="preserve">the </w:t>
      </w:r>
      <w:r w:rsidR="004321D1">
        <w:rPr>
          <w:rFonts w:ascii="Times New Roman" w:eastAsia="Times New Roman" w:hAnsi="Times New Roman" w:cs="Times New Roman"/>
          <w:color w:val="auto"/>
          <w:sz w:val="24"/>
          <w:szCs w:val="24"/>
        </w:rPr>
        <w:t>investment</w:t>
      </w:r>
      <w:r w:rsidR="000C559D">
        <w:rPr>
          <w:rFonts w:ascii="Times New Roman" w:eastAsia="Times New Roman" w:hAnsi="Times New Roman" w:cs="Times New Roman"/>
          <w:color w:val="auto"/>
          <w:sz w:val="24"/>
          <w:szCs w:val="24"/>
        </w:rPr>
        <w:t xml:space="preserve"> op</w:t>
      </w:r>
      <w:r w:rsidR="004321D1">
        <w:rPr>
          <w:rFonts w:ascii="Times New Roman" w:eastAsia="Times New Roman" w:hAnsi="Times New Roman" w:cs="Times New Roman"/>
          <w:color w:val="auto"/>
          <w:sz w:val="24"/>
          <w:szCs w:val="24"/>
        </w:rPr>
        <w:t>portunity</w:t>
      </w:r>
      <w:r w:rsidR="000C559D">
        <w:rPr>
          <w:rFonts w:ascii="Times New Roman" w:eastAsia="Times New Roman" w:hAnsi="Times New Roman" w:cs="Times New Roman"/>
          <w:color w:val="auto"/>
          <w:sz w:val="24"/>
          <w:szCs w:val="24"/>
        </w:rPr>
        <w:t xml:space="preserve"> may be less </w:t>
      </w:r>
      <w:r w:rsidR="004321D1">
        <w:rPr>
          <w:rFonts w:ascii="Times New Roman" w:eastAsia="Times New Roman" w:hAnsi="Times New Roman" w:cs="Times New Roman"/>
          <w:color w:val="auto"/>
          <w:sz w:val="24"/>
          <w:szCs w:val="24"/>
        </w:rPr>
        <w:t>attractive</w:t>
      </w:r>
      <w:r w:rsidR="000C559D">
        <w:rPr>
          <w:rFonts w:ascii="Times New Roman" w:eastAsia="Times New Roman" w:hAnsi="Times New Roman" w:cs="Times New Roman"/>
          <w:color w:val="auto"/>
          <w:sz w:val="24"/>
          <w:szCs w:val="24"/>
        </w:rPr>
        <w:t>.</w:t>
      </w:r>
    </w:p>
    <w:p w:rsidR="000F1F85" w:rsidRPr="00BC74B4" w:rsidRDefault="004321D1" w:rsidP="00D0255C">
      <w:pPr>
        <w:pStyle w:val="Body"/>
        <w:spacing w:after="0" w:line="48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color w:val="auto"/>
          <w:sz w:val="24"/>
          <w:szCs w:val="24"/>
        </w:rPr>
        <w:t>Nevertheless, with the low WAC</w:t>
      </w:r>
      <w:r w:rsidR="000C559D">
        <w:rPr>
          <w:rFonts w:ascii="Times New Roman" w:eastAsia="Times New Roman" w:hAnsi="Times New Roman" w:cs="Times New Roman"/>
          <w:color w:val="auto"/>
          <w:sz w:val="24"/>
          <w:szCs w:val="24"/>
        </w:rPr>
        <w:t>C</w:t>
      </w:r>
      <w:r w:rsidR="0079697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obtained</w:t>
      </w:r>
      <w:r w:rsidR="000C559D">
        <w:rPr>
          <w:rFonts w:ascii="Times New Roman" w:eastAsia="Times New Roman" w:hAnsi="Times New Roman" w:cs="Times New Roman"/>
          <w:color w:val="auto"/>
          <w:sz w:val="24"/>
          <w:szCs w:val="24"/>
        </w:rPr>
        <w:t>, the company</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cost of</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 xml:space="preserve">raising </w:t>
      </w:r>
      <w:r>
        <w:rPr>
          <w:rFonts w:ascii="Times New Roman" w:eastAsia="Times New Roman" w:hAnsi="Times New Roman" w:cs="Times New Roman"/>
          <w:color w:val="auto"/>
          <w:sz w:val="24"/>
          <w:szCs w:val="24"/>
        </w:rPr>
        <w:t>an additional</w:t>
      </w:r>
      <w:r w:rsidR="000C559D">
        <w:rPr>
          <w:rFonts w:ascii="Times New Roman" w:eastAsia="Times New Roman" w:hAnsi="Times New Roman" w:cs="Times New Roman"/>
          <w:color w:val="auto"/>
          <w:sz w:val="24"/>
          <w:szCs w:val="24"/>
        </w:rPr>
        <w:t xml:space="preserve"> dollar</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for</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 xml:space="preserve">the </w:t>
      </w:r>
      <w:r>
        <w:rPr>
          <w:rFonts w:ascii="Times New Roman" w:eastAsia="Times New Roman" w:hAnsi="Times New Roman" w:cs="Times New Roman"/>
          <w:color w:val="auto"/>
          <w:sz w:val="24"/>
          <w:szCs w:val="24"/>
        </w:rPr>
        <w:t>additional</w:t>
      </w:r>
      <w:r w:rsidR="000C559D">
        <w:rPr>
          <w:rFonts w:ascii="Times New Roman" w:eastAsia="Times New Roman" w:hAnsi="Times New Roman" w:cs="Times New Roman"/>
          <w:color w:val="auto"/>
          <w:sz w:val="24"/>
          <w:szCs w:val="24"/>
        </w:rPr>
        <w:t xml:space="preserve"> funding required would still be low. </w:t>
      </w:r>
      <w:r>
        <w:rPr>
          <w:rFonts w:ascii="Times New Roman" w:eastAsia="Times New Roman" w:hAnsi="Times New Roman" w:cs="Times New Roman"/>
          <w:color w:val="auto"/>
          <w:sz w:val="24"/>
          <w:szCs w:val="24"/>
        </w:rPr>
        <w:t>Hence,</w:t>
      </w:r>
      <w:r w:rsidR="000C559D">
        <w:rPr>
          <w:rFonts w:ascii="Times New Roman" w:eastAsia="Times New Roman" w:hAnsi="Times New Roman" w:cs="Times New Roman"/>
          <w:color w:val="auto"/>
          <w:sz w:val="24"/>
          <w:szCs w:val="24"/>
        </w:rPr>
        <w:t xml:space="preserve"> the </w:t>
      </w:r>
      <w:r>
        <w:rPr>
          <w:rFonts w:ascii="Times New Roman" w:eastAsia="Times New Roman" w:hAnsi="Times New Roman" w:cs="Times New Roman"/>
          <w:color w:val="auto"/>
          <w:sz w:val="24"/>
          <w:szCs w:val="24"/>
        </w:rPr>
        <w:t>alternative</w:t>
      </w:r>
      <w:r w:rsidR="000C559D">
        <w:rPr>
          <w:rFonts w:ascii="Times New Roman" w:eastAsia="Times New Roman" w:hAnsi="Times New Roman" w:cs="Times New Roman"/>
          <w:color w:val="auto"/>
          <w:sz w:val="24"/>
          <w:szCs w:val="24"/>
        </w:rPr>
        <w:t xml:space="preserve"> project still stands out. The </w:t>
      </w:r>
      <w:r>
        <w:rPr>
          <w:rFonts w:ascii="Times New Roman" w:eastAsia="Times New Roman" w:hAnsi="Times New Roman" w:cs="Times New Roman"/>
          <w:color w:val="auto"/>
          <w:sz w:val="24"/>
          <w:szCs w:val="24"/>
        </w:rPr>
        <w:t>WACC</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 xml:space="preserve">can aid the </w:t>
      </w:r>
      <w:r>
        <w:rPr>
          <w:rFonts w:ascii="Times New Roman" w:eastAsia="Times New Roman" w:hAnsi="Times New Roman" w:cs="Times New Roman"/>
          <w:color w:val="auto"/>
          <w:sz w:val="24"/>
          <w:szCs w:val="24"/>
        </w:rPr>
        <w:t>Monsanto</w:t>
      </w:r>
      <w:r w:rsidR="000C55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shareholders</w:t>
      </w:r>
      <w:r w:rsidR="000C559D">
        <w:rPr>
          <w:rFonts w:ascii="Times New Roman" w:eastAsia="Times New Roman" w:hAnsi="Times New Roman" w:cs="Times New Roman"/>
          <w:color w:val="auto"/>
          <w:sz w:val="24"/>
          <w:szCs w:val="24"/>
        </w:rPr>
        <w:t xml:space="preserve"> in </w:t>
      </w:r>
      <w:r>
        <w:rPr>
          <w:rFonts w:ascii="Times New Roman" w:eastAsia="Times New Roman" w:hAnsi="Times New Roman" w:cs="Times New Roman"/>
          <w:color w:val="auto"/>
          <w:sz w:val="24"/>
          <w:szCs w:val="24"/>
        </w:rPr>
        <w:t>undertaking</w:t>
      </w:r>
      <w:r w:rsidR="0079697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the financial</w:t>
      </w:r>
      <w:r w:rsidR="000C559D">
        <w:rPr>
          <w:rFonts w:ascii="Times New Roman" w:eastAsia="Times New Roman" w:hAnsi="Times New Roman" w:cs="Times New Roman"/>
          <w:color w:val="auto"/>
          <w:sz w:val="24"/>
          <w:szCs w:val="24"/>
        </w:rPr>
        <w:t xml:space="preserve"> risk of the</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 xml:space="preserve">firm’s operations as it is basically an </w:t>
      </w:r>
      <w:r w:rsidR="000C559D" w:rsidRPr="000C559D">
        <w:rPr>
          <w:rFonts w:ascii="Times New Roman" w:eastAsia="Times New Roman" w:hAnsi="Times New Roman" w:cs="Times New Roman"/>
          <w:color w:val="auto"/>
          <w:sz w:val="24"/>
          <w:szCs w:val="24"/>
        </w:rPr>
        <w:t>opportunity cost of their capital</w:t>
      </w:r>
      <w:r w:rsidR="000C559D">
        <w:rPr>
          <w:rFonts w:ascii="Times New Roman" w:eastAsia="Times New Roman" w:hAnsi="Times New Roman" w:cs="Times New Roman"/>
          <w:color w:val="auto"/>
          <w:sz w:val="24"/>
          <w:szCs w:val="24"/>
        </w:rPr>
        <w:t>. As such,</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retu</w:t>
      </w:r>
      <w:r>
        <w:rPr>
          <w:rFonts w:ascii="Times New Roman" w:eastAsia="Times New Roman" w:hAnsi="Times New Roman" w:cs="Times New Roman"/>
          <w:color w:val="auto"/>
          <w:sz w:val="24"/>
          <w:szCs w:val="24"/>
        </w:rPr>
        <w:t>rns</w:t>
      </w:r>
      <w:r w:rsidR="000C559D">
        <w:rPr>
          <w:rFonts w:ascii="Times New Roman" w:eastAsia="Times New Roman" w:hAnsi="Times New Roman" w:cs="Times New Roman"/>
          <w:color w:val="auto"/>
          <w:sz w:val="24"/>
          <w:szCs w:val="24"/>
        </w:rPr>
        <w:t xml:space="preserve"> to the </w:t>
      </w:r>
      <w:r>
        <w:rPr>
          <w:rFonts w:ascii="Times New Roman" w:eastAsia="Times New Roman" w:hAnsi="Times New Roman" w:cs="Times New Roman"/>
          <w:color w:val="auto"/>
          <w:sz w:val="24"/>
          <w:szCs w:val="24"/>
        </w:rPr>
        <w:t>investors that are less than the WACC</w:t>
      </w:r>
      <w:r w:rsidR="000C559D">
        <w:rPr>
          <w:rFonts w:ascii="Times New Roman" w:eastAsia="Times New Roman" w:hAnsi="Times New Roman" w:cs="Times New Roman"/>
          <w:color w:val="auto"/>
          <w:sz w:val="24"/>
          <w:szCs w:val="24"/>
        </w:rPr>
        <w:t xml:space="preserve"> may</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 xml:space="preserve">make the </w:t>
      </w:r>
      <w:r>
        <w:rPr>
          <w:rFonts w:ascii="Times New Roman" w:eastAsia="Times New Roman" w:hAnsi="Times New Roman" w:cs="Times New Roman"/>
          <w:color w:val="auto"/>
          <w:sz w:val="24"/>
          <w:szCs w:val="24"/>
        </w:rPr>
        <w:t>investors</w:t>
      </w:r>
      <w:r w:rsidR="000C55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withdraw</w:t>
      </w:r>
      <w:r w:rsidR="000C55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their</w:t>
      </w:r>
      <w:r w:rsidR="00796978">
        <w:rPr>
          <w:rFonts w:ascii="Times New Roman" w:eastAsia="Times New Roman" w:hAnsi="Times New Roman" w:cs="Times New Roman"/>
          <w:color w:val="auto"/>
          <w:sz w:val="24"/>
          <w:szCs w:val="24"/>
        </w:rPr>
        <w:t xml:space="preserve"> </w:t>
      </w:r>
      <w:r w:rsidR="000C559D">
        <w:rPr>
          <w:rFonts w:ascii="Times New Roman" w:eastAsia="Times New Roman" w:hAnsi="Times New Roman" w:cs="Times New Roman"/>
          <w:color w:val="auto"/>
          <w:sz w:val="24"/>
          <w:szCs w:val="24"/>
        </w:rPr>
        <w:t>inve</w:t>
      </w:r>
      <w:r>
        <w:rPr>
          <w:rFonts w:ascii="Times New Roman" w:eastAsia="Times New Roman" w:hAnsi="Times New Roman" w:cs="Times New Roman"/>
          <w:color w:val="auto"/>
          <w:sz w:val="24"/>
          <w:szCs w:val="24"/>
        </w:rPr>
        <w:t>stment</w:t>
      </w:r>
      <w:r w:rsidR="000C55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from</w:t>
      </w:r>
      <w:r w:rsidR="000C559D">
        <w:rPr>
          <w:rFonts w:ascii="Times New Roman" w:eastAsia="Times New Roman" w:hAnsi="Times New Roman" w:cs="Times New Roman"/>
          <w:color w:val="auto"/>
          <w:sz w:val="24"/>
          <w:szCs w:val="24"/>
        </w:rPr>
        <w:t xml:space="preserve"> the co</w:t>
      </w:r>
      <w:r>
        <w:rPr>
          <w:rFonts w:ascii="Times New Roman" w:eastAsia="Times New Roman" w:hAnsi="Times New Roman" w:cs="Times New Roman"/>
          <w:color w:val="auto"/>
          <w:sz w:val="24"/>
          <w:szCs w:val="24"/>
        </w:rPr>
        <w:t>mpany.</w:t>
      </w:r>
    </w:p>
    <w:p w:rsidR="00BC74B4" w:rsidRPr="00BC74B4" w:rsidRDefault="00AC35D7" w:rsidP="00BC74B4">
      <w:pPr>
        <w:pStyle w:val="Body"/>
        <w:spacing w:after="0" w:line="480" w:lineRule="auto"/>
        <w:jc w:val="center"/>
        <w:rPr>
          <w:rFonts w:ascii="Times New Roman" w:eastAsia="Times New Roman" w:hAnsi="Times New Roman" w:cs="Times New Roman"/>
          <w:b/>
          <w:bCs/>
          <w:sz w:val="24"/>
          <w:szCs w:val="24"/>
        </w:rPr>
      </w:pPr>
      <w:r>
        <w:rPr>
          <w:rFonts w:ascii="Times New Roman" w:hAnsi="Times New Roman"/>
          <w:b/>
          <w:bCs/>
          <w:sz w:val="24"/>
          <w:szCs w:val="24"/>
          <w:lang w:val="pt-PT"/>
        </w:rPr>
        <w:t>Financial Ratio Analysis</w:t>
      </w:r>
    </w:p>
    <w:p w:rsidR="00BC74B4" w:rsidRPr="00BC74B4" w:rsidRDefault="00AC35D7" w:rsidP="00BC74B4">
      <w:pPr>
        <w:pStyle w:val="Body"/>
        <w:spacing w:after="0" w:line="480" w:lineRule="auto"/>
        <w:ind w:firstLine="720"/>
        <w:rPr>
          <w:rFonts w:ascii="Times New Roman" w:hAnsi="Times New Roman"/>
          <w:sz w:val="24"/>
          <w:szCs w:val="24"/>
        </w:rPr>
      </w:pPr>
      <w:r>
        <w:rPr>
          <w:rFonts w:ascii="Times New Roman" w:hAnsi="Times New Roman"/>
          <w:sz w:val="24"/>
          <w:szCs w:val="24"/>
        </w:rPr>
        <w:t xml:space="preserve"> Ratio analysis is one of the financial analysis methods used to summarize the information presented in an organization’s financial reports to evaluate the financial performance of the company during its operations (</w:t>
      </w:r>
      <w:r>
        <w:rPr>
          <w:rFonts w:ascii="Times New Roman" w:hAnsi="Times New Roman"/>
          <w:sz w:val="24"/>
          <w:szCs w:val="24"/>
          <w:shd w:val="clear" w:color="auto" w:fill="FFFFFF"/>
          <w:lang w:val="it-IT"/>
        </w:rPr>
        <w:t>Nissim &amp; Penman, 2001)</w:t>
      </w:r>
      <w:r>
        <w:rPr>
          <w:rFonts w:ascii="Times New Roman" w:hAnsi="Times New Roman"/>
          <w:sz w:val="24"/>
          <w:szCs w:val="24"/>
        </w:rPr>
        <w:t xml:space="preserve">. The table below summarizes the </w:t>
      </w:r>
      <w:r>
        <w:rPr>
          <w:rFonts w:ascii="Times New Roman" w:hAnsi="Times New Roman"/>
          <w:sz w:val="24"/>
          <w:szCs w:val="24"/>
        </w:rPr>
        <w:lastRenderedPageBreak/>
        <w:t>ratios computed regarding the Monsanto, which include short-term solvency, asset utilization, long-term solvency, and profitability.</w:t>
      </w:r>
    </w:p>
    <w:p w:rsidR="000043DE" w:rsidRDefault="00AC35D7">
      <w:pPr>
        <w:pStyle w:val="Body"/>
        <w:spacing w:after="0" w:line="480" w:lineRule="auto"/>
        <w:rPr>
          <w:rFonts w:ascii="Times New Roman" w:eastAsia="Times New Roman" w:hAnsi="Times New Roman" w:cs="Times New Roman"/>
          <w:sz w:val="24"/>
          <w:szCs w:val="24"/>
        </w:rPr>
      </w:pPr>
      <w:r>
        <w:rPr>
          <w:rFonts w:ascii="Times New Roman" w:hAnsi="Times New Roman"/>
          <w:i/>
          <w:iCs/>
          <w:sz w:val="24"/>
          <w:szCs w:val="24"/>
          <w:lang w:val="fr-FR"/>
        </w:rPr>
        <w:t xml:space="preserve">Table 1: </w:t>
      </w:r>
      <w:r>
        <w:rPr>
          <w:rFonts w:ascii="Times New Roman" w:hAnsi="Times New Roman"/>
          <w:sz w:val="24"/>
          <w:szCs w:val="24"/>
        </w:rPr>
        <w:t>Financial Ratios</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379"/>
        <w:gridCol w:w="2396"/>
        <w:gridCol w:w="3780"/>
        <w:gridCol w:w="788"/>
        <w:gridCol w:w="776"/>
        <w:gridCol w:w="885"/>
      </w:tblGrid>
      <w:tr w:rsidR="00F34EBC" w:rsidTr="000C559D">
        <w:trPr>
          <w:trHeight w:val="987"/>
        </w:trPr>
        <w:tc>
          <w:tcPr>
            <w:tcW w:w="1379" w:type="dxa"/>
            <w:shd w:val="clear" w:color="auto" w:fill="auto"/>
            <w:tcMar>
              <w:top w:w="80" w:type="dxa"/>
              <w:left w:w="80" w:type="dxa"/>
              <w:bottom w:w="80" w:type="dxa"/>
              <w:right w:w="80" w:type="dxa"/>
            </w:tcMar>
            <w:vAlign w:val="bottom"/>
          </w:tcPr>
          <w:p w:rsidR="000043DE" w:rsidRDefault="00AC35D7">
            <w:pPr>
              <w:pStyle w:val="Body"/>
              <w:spacing w:after="0" w:line="276" w:lineRule="auto"/>
            </w:pPr>
            <w:r>
              <w:rPr>
                <w:rFonts w:ascii="Times New Roman" w:hAnsi="Times New Roman"/>
                <w:b/>
                <w:bCs/>
                <w:sz w:val="24"/>
                <w:szCs w:val="24"/>
              </w:rPr>
              <w:t>Type of Ratio</w:t>
            </w:r>
          </w:p>
        </w:tc>
        <w:tc>
          <w:tcPr>
            <w:tcW w:w="2396" w:type="dxa"/>
            <w:shd w:val="clear" w:color="auto" w:fill="auto"/>
            <w:tcMar>
              <w:top w:w="80" w:type="dxa"/>
              <w:left w:w="80" w:type="dxa"/>
              <w:bottom w:w="80" w:type="dxa"/>
              <w:right w:w="80" w:type="dxa"/>
            </w:tcMar>
            <w:vAlign w:val="bottom"/>
          </w:tcPr>
          <w:p w:rsidR="000043DE" w:rsidRDefault="00AC35D7">
            <w:pPr>
              <w:pStyle w:val="Body"/>
              <w:spacing w:after="0" w:line="276" w:lineRule="auto"/>
            </w:pPr>
            <w:r>
              <w:rPr>
                <w:rFonts w:ascii="Times New Roman" w:hAnsi="Times New Roman"/>
                <w:b/>
                <w:bCs/>
                <w:sz w:val="24"/>
                <w:szCs w:val="24"/>
              </w:rPr>
              <w:t xml:space="preserve">Ratio Name </w:t>
            </w:r>
          </w:p>
        </w:tc>
        <w:tc>
          <w:tcPr>
            <w:tcW w:w="3780" w:type="dxa"/>
            <w:shd w:val="clear" w:color="auto" w:fill="auto"/>
            <w:tcMar>
              <w:top w:w="80" w:type="dxa"/>
              <w:left w:w="80" w:type="dxa"/>
              <w:bottom w:w="80" w:type="dxa"/>
              <w:right w:w="80" w:type="dxa"/>
            </w:tcMar>
            <w:vAlign w:val="bottom"/>
          </w:tcPr>
          <w:p w:rsidR="000043DE" w:rsidRDefault="00AC35D7">
            <w:pPr>
              <w:pStyle w:val="Body"/>
              <w:spacing w:after="0" w:line="276" w:lineRule="auto"/>
            </w:pPr>
            <w:r>
              <w:rPr>
                <w:rFonts w:ascii="Times New Roman" w:hAnsi="Times New Roman"/>
                <w:b/>
                <w:bCs/>
                <w:sz w:val="24"/>
                <w:szCs w:val="24"/>
              </w:rPr>
              <w:t>Formula</w:t>
            </w:r>
          </w:p>
        </w:tc>
        <w:tc>
          <w:tcPr>
            <w:tcW w:w="788" w:type="dxa"/>
            <w:shd w:val="clear" w:color="auto" w:fill="auto"/>
            <w:tcMar>
              <w:top w:w="80" w:type="dxa"/>
              <w:left w:w="80" w:type="dxa"/>
              <w:bottom w:w="80" w:type="dxa"/>
              <w:right w:w="80" w:type="dxa"/>
            </w:tcMar>
            <w:vAlign w:val="bottom"/>
          </w:tcPr>
          <w:p w:rsidR="000043DE" w:rsidRDefault="00AC35D7">
            <w:pPr>
              <w:pStyle w:val="Body"/>
              <w:spacing w:after="0" w:line="276" w:lineRule="auto"/>
              <w:jc w:val="center"/>
            </w:pPr>
            <w:r>
              <w:rPr>
                <w:rFonts w:ascii="Times New Roman" w:hAnsi="Times New Roman"/>
                <w:b/>
                <w:bCs/>
                <w:sz w:val="24"/>
                <w:szCs w:val="24"/>
              </w:rPr>
              <w:t>Ratio 2015</w:t>
            </w:r>
          </w:p>
        </w:tc>
        <w:tc>
          <w:tcPr>
            <w:tcW w:w="776" w:type="dxa"/>
            <w:shd w:val="clear" w:color="auto" w:fill="auto"/>
            <w:tcMar>
              <w:top w:w="80" w:type="dxa"/>
              <w:left w:w="80" w:type="dxa"/>
              <w:bottom w:w="80" w:type="dxa"/>
              <w:right w:w="80" w:type="dxa"/>
            </w:tcMar>
            <w:vAlign w:val="bottom"/>
          </w:tcPr>
          <w:p w:rsidR="000043DE" w:rsidRDefault="00AC35D7">
            <w:pPr>
              <w:pStyle w:val="Body"/>
              <w:spacing w:after="0" w:line="276" w:lineRule="auto"/>
              <w:jc w:val="right"/>
            </w:pPr>
            <w:r>
              <w:rPr>
                <w:rFonts w:ascii="Times New Roman" w:hAnsi="Times New Roman"/>
                <w:b/>
                <w:bCs/>
                <w:sz w:val="24"/>
                <w:szCs w:val="24"/>
              </w:rPr>
              <w:t>Ratio 2014</w:t>
            </w:r>
          </w:p>
        </w:tc>
        <w:tc>
          <w:tcPr>
            <w:tcW w:w="885" w:type="dxa"/>
            <w:shd w:val="clear" w:color="auto" w:fill="auto"/>
            <w:tcMar>
              <w:top w:w="80" w:type="dxa"/>
              <w:left w:w="80" w:type="dxa"/>
              <w:bottom w:w="80" w:type="dxa"/>
              <w:right w:w="80" w:type="dxa"/>
            </w:tcMar>
            <w:vAlign w:val="bottom"/>
          </w:tcPr>
          <w:p w:rsidR="000043DE" w:rsidRDefault="00AC35D7">
            <w:pPr>
              <w:pStyle w:val="Body"/>
              <w:spacing w:after="0" w:line="276" w:lineRule="auto"/>
              <w:jc w:val="right"/>
            </w:pPr>
            <w:r>
              <w:rPr>
                <w:rFonts w:ascii="Times New Roman" w:hAnsi="Times New Roman"/>
                <w:b/>
                <w:bCs/>
                <w:sz w:val="24"/>
                <w:szCs w:val="24"/>
              </w:rPr>
              <w:t>Ratio 2013</w:t>
            </w:r>
          </w:p>
        </w:tc>
      </w:tr>
      <w:tr w:rsidR="00F34EBC" w:rsidTr="000C559D">
        <w:trPr>
          <w:trHeight w:val="450"/>
        </w:trPr>
        <w:tc>
          <w:tcPr>
            <w:tcW w:w="1379" w:type="dxa"/>
            <w:vMerge w:val="restart"/>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Short term solvency ratios</w:t>
            </w:r>
          </w:p>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Current ratio</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Current Assets/Current Liabilities</w:t>
            </w:r>
          </w:p>
        </w:tc>
        <w:tc>
          <w:tcPr>
            <w:tcW w:w="788" w:type="dxa"/>
            <w:shd w:val="clear" w:color="auto" w:fill="auto"/>
            <w:tcMar>
              <w:top w:w="80" w:type="dxa"/>
              <w:left w:w="80" w:type="dxa"/>
              <w:bottom w:w="80" w:type="dxa"/>
              <w:right w:w="80" w:type="dxa"/>
            </w:tcMar>
          </w:tcPr>
          <w:p w:rsidR="000043DE" w:rsidRDefault="00AC35D7">
            <w:pPr>
              <w:pStyle w:val="NoSpacing"/>
              <w:spacing w:line="276" w:lineRule="auto"/>
              <w:jc w:val="center"/>
            </w:pPr>
            <w:r>
              <w:rPr>
                <w:rFonts w:ascii="Times New Roman" w:hAnsi="Times New Roman"/>
                <w:sz w:val="24"/>
                <w:szCs w:val="24"/>
              </w:rPr>
              <w:t>0.71</w:t>
            </w:r>
          </w:p>
        </w:tc>
        <w:tc>
          <w:tcPr>
            <w:tcW w:w="776"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0.69</w:t>
            </w:r>
          </w:p>
        </w:tc>
        <w:tc>
          <w:tcPr>
            <w:tcW w:w="885"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1.24</w:t>
            </w:r>
          </w:p>
        </w:tc>
      </w:tr>
      <w:tr w:rsidR="00F34EBC" w:rsidTr="000C559D">
        <w:trPr>
          <w:trHeight w:val="987"/>
        </w:trPr>
        <w:tc>
          <w:tcPr>
            <w:tcW w:w="1379" w:type="dxa"/>
            <w:vMerge/>
            <w:shd w:val="clear" w:color="auto" w:fill="auto"/>
          </w:tcPr>
          <w:p w:rsidR="000043DE" w:rsidRDefault="000043DE"/>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Quick ratio</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(Cash And Equivalents + Marketable Securities + Accounts Receivable) / Current Liabilities</w:t>
            </w:r>
          </w:p>
        </w:tc>
        <w:tc>
          <w:tcPr>
            <w:tcW w:w="788" w:type="dxa"/>
            <w:shd w:val="clear" w:color="auto" w:fill="auto"/>
            <w:tcMar>
              <w:top w:w="80" w:type="dxa"/>
              <w:left w:w="80" w:type="dxa"/>
              <w:bottom w:w="80" w:type="dxa"/>
              <w:right w:w="80" w:type="dxa"/>
            </w:tcMar>
          </w:tcPr>
          <w:p w:rsidR="000043DE" w:rsidRDefault="00AC35D7">
            <w:pPr>
              <w:pStyle w:val="NoSpacing"/>
              <w:spacing w:line="276" w:lineRule="auto"/>
              <w:jc w:val="center"/>
            </w:pPr>
            <w:r>
              <w:rPr>
                <w:rFonts w:ascii="Times New Roman" w:hAnsi="Times New Roman"/>
                <w:sz w:val="24"/>
                <w:szCs w:val="24"/>
              </w:rPr>
              <w:t>0.46</w:t>
            </w:r>
          </w:p>
        </w:tc>
        <w:tc>
          <w:tcPr>
            <w:tcW w:w="776"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0.42</w:t>
            </w:r>
          </w:p>
        </w:tc>
        <w:tc>
          <w:tcPr>
            <w:tcW w:w="885"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0.86</w:t>
            </w:r>
          </w:p>
        </w:tc>
      </w:tr>
      <w:tr w:rsidR="00F34EBC" w:rsidTr="000C559D">
        <w:trPr>
          <w:trHeight w:val="646"/>
        </w:trPr>
        <w:tc>
          <w:tcPr>
            <w:tcW w:w="1379" w:type="dxa"/>
            <w:vMerge/>
            <w:shd w:val="clear" w:color="auto" w:fill="auto"/>
          </w:tcPr>
          <w:p w:rsidR="000043DE" w:rsidRDefault="000043DE"/>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Cash Ratio</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(Cash And Equivalents + Cash)/Current Liabilities</w:t>
            </w:r>
          </w:p>
        </w:tc>
        <w:tc>
          <w:tcPr>
            <w:tcW w:w="788" w:type="dxa"/>
            <w:shd w:val="clear" w:color="auto" w:fill="auto"/>
            <w:tcMar>
              <w:top w:w="80" w:type="dxa"/>
              <w:left w:w="80" w:type="dxa"/>
              <w:bottom w:w="80" w:type="dxa"/>
              <w:right w:w="80" w:type="dxa"/>
            </w:tcMar>
          </w:tcPr>
          <w:p w:rsidR="000043DE" w:rsidRDefault="00AC35D7">
            <w:pPr>
              <w:pStyle w:val="NoSpacing"/>
              <w:spacing w:line="276" w:lineRule="auto"/>
              <w:jc w:val="center"/>
            </w:pPr>
            <w:r>
              <w:rPr>
                <w:rFonts w:ascii="Times New Roman" w:hAnsi="Times New Roman"/>
                <w:sz w:val="24"/>
                <w:szCs w:val="24"/>
              </w:rPr>
              <w:t>0.25</w:t>
            </w:r>
          </w:p>
        </w:tc>
        <w:tc>
          <w:tcPr>
            <w:tcW w:w="776"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0.17</w:t>
            </w:r>
          </w:p>
        </w:tc>
        <w:tc>
          <w:tcPr>
            <w:tcW w:w="885"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0.45</w:t>
            </w:r>
          </w:p>
        </w:tc>
      </w:tr>
      <w:tr w:rsidR="00F34EBC" w:rsidTr="000C559D">
        <w:trPr>
          <w:trHeight w:val="300"/>
        </w:trPr>
        <w:tc>
          <w:tcPr>
            <w:tcW w:w="1379" w:type="dxa"/>
            <w:vMerge w:val="restart"/>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Asset Utilization</w:t>
            </w:r>
          </w:p>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Asset Turnover Ratio</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Net Sales/Average Total Assets</w:t>
            </w:r>
          </w:p>
        </w:tc>
        <w:tc>
          <w:tcPr>
            <w:tcW w:w="788" w:type="dxa"/>
            <w:shd w:val="clear" w:color="auto" w:fill="auto"/>
            <w:tcMar>
              <w:top w:w="80" w:type="dxa"/>
              <w:left w:w="80" w:type="dxa"/>
              <w:bottom w:w="80" w:type="dxa"/>
              <w:right w:w="80" w:type="dxa"/>
            </w:tcMar>
          </w:tcPr>
          <w:p w:rsidR="000043DE" w:rsidRDefault="00AC35D7">
            <w:pPr>
              <w:pStyle w:val="NoSpacing"/>
              <w:spacing w:line="276" w:lineRule="auto"/>
              <w:jc w:val="center"/>
            </w:pPr>
            <w:r>
              <w:rPr>
                <w:rFonts w:ascii="Times New Roman" w:hAnsi="Times New Roman"/>
                <w:sz w:val="24"/>
                <w:szCs w:val="24"/>
              </w:rPr>
              <w:t>0.68</w:t>
            </w:r>
          </w:p>
        </w:tc>
        <w:tc>
          <w:tcPr>
            <w:tcW w:w="776"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0.72</w:t>
            </w:r>
          </w:p>
        </w:tc>
        <w:tc>
          <w:tcPr>
            <w:tcW w:w="885"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0.72</w:t>
            </w:r>
          </w:p>
        </w:tc>
      </w:tr>
      <w:tr w:rsidR="00F34EBC" w:rsidTr="000C559D">
        <w:trPr>
          <w:trHeight w:val="643"/>
        </w:trPr>
        <w:tc>
          <w:tcPr>
            <w:tcW w:w="1379" w:type="dxa"/>
            <w:vMerge/>
            <w:shd w:val="clear" w:color="auto" w:fill="auto"/>
          </w:tcPr>
          <w:p w:rsidR="000043DE" w:rsidRDefault="000043DE"/>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Inventory Turnover Ratio</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Cost Of Goods Sold/Average Inventory</w:t>
            </w:r>
          </w:p>
        </w:tc>
        <w:tc>
          <w:tcPr>
            <w:tcW w:w="788" w:type="dxa"/>
            <w:shd w:val="clear" w:color="auto" w:fill="auto"/>
            <w:tcMar>
              <w:top w:w="80" w:type="dxa"/>
              <w:left w:w="80" w:type="dxa"/>
              <w:bottom w:w="80" w:type="dxa"/>
              <w:right w:w="80" w:type="dxa"/>
            </w:tcMar>
          </w:tcPr>
          <w:p w:rsidR="000043DE" w:rsidRDefault="00AC35D7">
            <w:pPr>
              <w:pStyle w:val="NoSpacing"/>
              <w:spacing w:line="276" w:lineRule="auto"/>
              <w:jc w:val="center"/>
            </w:pPr>
            <w:r>
              <w:rPr>
                <w:rFonts w:ascii="Times New Roman" w:hAnsi="Times New Roman"/>
                <w:sz w:val="24"/>
                <w:szCs w:val="24"/>
              </w:rPr>
              <w:t>1.95</w:t>
            </w:r>
          </w:p>
        </w:tc>
        <w:tc>
          <w:tcPr>
            <w:tcW w:w="776"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2.02</w:t>
            </w:r>
          </w:p>
        </w:tc>
        <w:tc>
          <w:tcPr>
            <w:tcW w:w="885"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2.45</w:t>
            </w:r>
          </w:p>
        </w:tc>
      </w:tr>
      <w:tr w:rsidR="00F34EBC" w:rsidTr="000C559D">
        <w:trPr>
          <w:trHeight w:val="300"/>
        </w:trPr>
        <w:tc>
          <w:tcPr>
            <w:tcW w:w="1379" w:type="dxa"/>
            <w:vMerge w:val="restart"/>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Long-term solvency</w:t>
            </w:r>
          </w:p>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Debt Ratio</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Total Debt/Total Assets</w:t>
            </w:r>
          </w:p>
        </w:tc>
        <w:tc>
          <w:tcPr>
            <w:tcW w:w="788" w:type="dxa"/>
            <w:shd w:val="clear" w:color="auto" w:fill="auto"/>
            <w:tcMar>
              <w:top w:w="80" w:type="dxa"/>
              <w:left w:w="80" w:type="dxa"/>
              <w:bottom w:w="80" w:type="dxa"/>
              <w:right w:w="80" w:type="dxa"/>
            </w:tcMar>
          </w:tcPr>
          <w:p w:rsidR="000043DE" w:rsidRDefault="00AC35D7">
            <w:pPr>
              <w:pStyle w:val="NoSpacing"/>
              <w:spacing w:line="276" w:lineRule="auto"/>
              <w:jc w:val="center"/>
            </w:pPr>
            <w:r>
              <w:rPr>
                <w:rFonts w:ascii="Times New Roman" w:hAnsi="Times New Roman"/>
                <w:sz w:val="24"/>
                <w:szCs w:val="24"/>
              </w:rPr>
              <w:t>0.68</w:t>
            </w:r>
          </w:p>
        </w:tc>
        <w:tc>
          <w:tcPr>
            <w:tcW w:w="776"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0.64</w:t>
            </w:r>
          </w:p>
        </w:tc>
        <w:tc>
          <w:tcPr>
            <w:tcW w:w="885"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0.39</w:t>
            </w:r>
          </w:p>
        </w:tc>
      </w:tr>
      <w:tr w:rsidR="00F34EBC" w:rsidTr="000C559D">
        <w:trPr>
          <w:trHeight w:val="643"/>
        </w:trPr>
        <w:tc>
          <w:tcPr>
            <w:tcW w:w="1379" w:type="dxa"/>
            <w:vMerge/>
            <w:shd w:val="clear" w:color="auto" w:fill="auto"/>
          </w:tcPr>
          <w:p w:rsidR="000043DE" w:rsidRDefault="000043DE"/>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Debt to Equity Ratio</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Total Liabilities/ Shareholder Equity</w:t>
            </w:r>
          </w:p>
        </w:tc>
        <w:tc>
          <w:tcPr>
            <w:tcW w:w="788" w:type="dxa"/>
            <w:shd w:val="clear" w:color="auto" w:fill="auto"/>
            <w:tcMar>
              <w:top w:w="80" w:type="dxa"/>
              <w:left w:w="80" w:type="dxa"/>
              <w:bottom w:w="80" w:type="dxa"/>
              <w:right w:w="80" w:type="dxa"/>
            </w:tcMar>
          </w:tcPr>
          <w:p w:rsidR="000043DE" w:rsidRDefault="00AC35D7">
            <w:pPr>
              <w:pStyle w:val="NoSpacing"/>
              <w:spacing w:line="276" w:lineRule="auto"/>
              <w:jc w:val="center"/>
            </w:pPr>
            <w:r>
              <w:rPr>
                <w:rFonts w:ascii="Times New Roman" w:hAnsi="Times New Roman"/>
                <w:sz w:val="24"/>
                <w:szCs w:val="24"/>
              </w:rPr>
              <w:t>2.14</w:t>
            </w:r>
          </w:p>
        </w:tc>
        <w:tc>
          <w:tcPr>
            <w:tcW w:w="776"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1.78</w:t>
            </w:r>
          </w:p>
        </w:tc>
        <w:tc>
          <w:tcPr>
            <w:tcW w:w="885"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0.65</w:t>
            </w:r>
          </w:p>
        </w:tc>
      </w:tr>
      <w:tr w:rsidR="00F34EBC" w:rsidTr="000C559D">
        <w:trPr>
          <w:trHeight w:val="623"/>
        </w:trPr>
        <w:tc>
          <w:tcPr>
            <w:tcW w:w="1379" w:type="dxa"/>
            <w:vMerge/>
            <w:shd w:val="clear" w:color="auto" w:fill="auto"/>
          </w:tcPr>
          <w:p w:rsidR="000043DE" w:rsidRDefault="000043DE"/>
        </w:tc>
        <w:tc>
          <w:tcPr>
            <w:tcW w:w="2396" w:type="dxa"/>
            <w:shd w:val="clear" w:color="auto" w:fill="auto"/>
            <w:tcMar>
              <w:top w:w="80" w:type="dxa"/>
              <w:left w:w="80" w:type="dxa"/>
              <w:bottom w:w="80" w:type="dxa"/>
              <w:right w:w="80" w:type="dxa"/>
            </w:tcMar>
            <w:vAlign w:val="bottom"/>
          </w:tcPr>
          <w:p w:rsidR="000043DE" w:rsidRDefault="00AC35D7">
            <w:pPr>
              <w:pStyle w:val="Body"/>
              <w:spacing w:after="0"/>
            </w:pPr>
            <w:r>
              <w:rPr>
                <w:rFonts w:ascii="Times New Roman" w:hAnsi="Times New Roman"/>
                <w:sz w:val="24"/>
                <w:szCs w:val="24"/>
              </w:rPr>
              <w:t>Interest Coverage Ratio</w:t>
            </w:r>
          </w:p>
        </w:tc>
        <w:tc>
          <w:tcPr>
            <w:tcW w:w="3780" w:type="dxa"/>
            <w:shd w:val="clear" w:color="auto" w:fill="auto"/>
            <w:tcMar>
              <w:top w:w="80" w:type="dxa"/>
              <w:left w:w="80" w:type="dxa"/>
              <w:bottom w:w="80" w:type="dxa"/>
              <w:right w:w="80" w:type="dxa"/>
            </w:tcMar>
            <w:vAlign w:val="bottom"/>
          </w:tcPr>
          <w:p w:rsidR="000043DE" w:rsidRDefault="00AC35D7">
            <w:pPr>
              <w:pStyle w:val="Body"/>
              <w:spacing w:after="0"/>
            </w:pPr>
            <w:r>
              <w:rPr>
                <w:rFonts w:ascii="Times New Roman" w:hAnsi="Times New Roman"/>
                <w:sz w:val="24"/>
                <w:szCs w:val="24"/>
              </w:rPr>
              <w:t xml:space="preserve">EBIT/Interest Expense </w:t>
            </w:r>
          </w:p>
        </w:tc>
        <w:tc>
          <w:tcPr>
            <w:tcW w:w="788" w:type="dxa"/>
            <w:shd w:val="clear" w:color="auto" w:fill="auto"/>
            <w:tcMar>
              <w:top w:w="80" w:type="dxa"/>
              <w:left w:w="80" w:type="dxa"/>
              <w:bottom w:w="80" w:type="dxa"/>
              <w:right w:w="80" w:type="dxa"/>
            </w:tcMar>
          </w:tcPr>
          <w:p w:rsidR="000043DE" w:rsidRDefault="00AC35D7">
            <w:pPr>
              <w:pStyle w:val="Body"/>
              <w:spacing w:after="0"/>
              <w:jc w:val="center"/>
            </w:pPr>
            <w:r>
              <w:rPr>
                <w:rFonts w:ascii="Times New Roman" w:hAnsi="Times New Roman"/>
                <w:sz w:val="24"/>
                <w:szCs w:val="24"/>
              </w:rPr>
              <w:t>8.30</w:t>
            </w:r>
          </w:p>
        </w:tc>
        <w:tc>
          <w:tcPr>
            <w:tcW w:w="776"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16.43</w:t>
            </w:r>
          </w:p>
        </w:tc>
        <w:tc>
          <w:tcPr>
            <w:tcW w:w="885"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20.94</w:t>
            </w:r>
          </w:p>
        </w:tc>
      </w:tr>
      <w:tr w:rsidR="00F34EBC" w:rsidTr="000C559D">
        <w:trPr>
          <w:trHeight w:val="300"/>
        </w:trPr>
        <w:tc>
          <w:tcPr>
            <w:tcW w:w="1379" w:type="dxa"/>
            <w:vMerge w:val="restart"/>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Profitability Ratios</w:t>
            </w:r>
          </w:p>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Return on Equity</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 xml:space="preserve">Net Income/Stakeholder Equity </w:t>
            </w:r>
          </w:p>
        </w:tc>
        <w:tc>
          <w:tcPr>
            <w:tcW w:w="788" w:type="dxa"/>
            <w:shd w:val="clear" w:color="auto" w:fill="auto"/>
            <w:tcMar>
              <w:top w:w="80" w:type="dxa"/>
              <w:left w:w="80" w:type="dxa"/>
              <w:bottom w:w="80" w:type="dxa"/>
              <w:right w:w="80" w:type="dxa"/>
            </w:tcMar>
          </w:tcPr>
          <w:p w:rsidR="000043DE" w:rsidRDefault="00AC35D7">
            <w:pPr>
              <w:pStyle w:val="NoSpacing"/>
              <w:spacing w:line="276" w:lineRule="auto"/>
              <w:jc w:val="center"/>
            </w:pPr>
            <w:r>
              <w:rPr>
                <w:rFonts w:ascii="Times New Roman" w:hAnsi="Times New Roman"/>
                <w:sz w:val="24"/>
                <w:szCs w:val="24"/>
              </w:rPr>
              <w:t>0.33</w:t>
            </w:r>
          </w:p>
        </w:tc>
        <w:tc>
          <w:tcPr>
            <w:tcW w:w="776"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0.35</w:t>
            </w:r>
          </w:p>
        </w:tc>
        <w:tc>
          <w:tcPr>
            <w:tcW w:w="885" w:type="dxa"/>
            <w:shd w:val="clear" w:color="auto" w:fill="auto"/>
            <w:tcMar>
              <w:top w:w="80" w:type="dxa"/>
              <w:left w:w="80" w:type="dxa"/>
              <w:bottom w:w="80" w:type="dxa"/>
              <w:right w:w="80" w:type="dxa"/>
            </w:tcMar>
          </w:tcPr>
          <w:p w:rsidR="000043DE" w:rsidRDefault="00AC35D7">
            <w:pPr>
              <w:pStyle w:val="NoSpacing"/>
              <w:spacing w:line="276" w:lineRule="auto"/>
            </w:pPr>
            <w:r>
              <w:rPr>
                <w:rFonts w:ascii="Times New Roman" w:hAnsi="Times New Roman"/>
                <w:sz w:val="24"/>
                <w:szCs w:val="24"/>
              </w:rPr>
              <w:t>0.20</w:t>
            </w:r>
          </w:p>
        </w:tc>
      </w:tr>
      <w:tr w:rsidR="00F34EBC" w:rsidTr="000C559D">
        <w:trPr>
          <w:trHeight w:val="300"/>
        </w:trPr>
        <w:tc>
          <w:tcPr>
            <w:tcW w:w="1379" w:type="dxa"/>
            <w:vMerge/>
            <w:shd w:val="clear" w:color="auto" w:fill="auto"/>
          </w:tcPr>
          <w:p w:rsidR="000043DE" w:rsidRDefault="000043DE"/>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Return on Assets</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Net Income/Total Assets</w:t>
            </w:r>
          </w:p>
        </w:tc>
        <w:tc>
          <w:tcPr>
            <w:tcW w:w="788" w:type="dxa"/>
            <w:shd w:val="clear" w:color="auto" w:fill="auto"/>
            <w:tcMar>
              <w:top w:w="80" w:type="dxa"/>
              <w:left w:w="80" w:type="dxa"/>
              <w:bottom w:w="80" w:type="dxa"/>
              <w:right w:w="80" w:type="dxa"/>
            </w:tcMar>
          </w:tcPr>
          <w:p w:rsidR="000043DE" w:rsidRDefault="00AC35D7">
            <w:pPr>
              <w:pStyle w:val="Body"/>
              <w:spacing w:after="0" w:line="276" w:lineRule="auto"/>
              <w:jc w:val="center"/>
            </w:pPr>
            <w:r>
              <w:rPr>
                <w:rFonts w:ascii="Times New Roman" w:hAnsi="Times New Roman"/>
                <w:sz w:val="24"/>
                <w:szCs w:val="24"/>
              </w:rPr>
              <w:t>0.11</w:t>
            </w:r>
          </w:p>
        </w:tc>
        <w:tc>
          <w:tcPr>
            <w:tcW w:w="776" w:type="dxa"/>
            <w:shd w:val="clear" w:color="auto" w:fill="auto"/>
            <w:tcMar>
              <w:top w:w="80" w:type="dxa"/>
              <w:left w:w="80" w:type="dxa"/>
              <w:bottom w:w="80" w:type="dxa"/>
              <w:right w:w="80" w:type="dxa"/>
            </w:tcMar>
          </w:tcPr>
          <w:p w:rsidR="000043DE" w:rsidRDefault="00AC35D7">
            <w:pPr>
              <w:pStyle w:val="Body"/>
              <w:spacing w:after="0" w:line="276" w:lineRule="auto"/>
            </w:pPr>
            <w:r>
              <w:rPr>
                <w:rFonts w:ascii="Times New Roman" w:hAnsi="Times New Roman"/>
                <w:sz w:val="24"/>
                <w:szCs w:val="24"/>
              </w:rPr>
              <w:t>0.13</w:t>
            </w:r>
          </w:p>
        </w:tc>
        <w:tc>
          <w:tcPr>
            <w:tcW w:w="885" w:type="dxa"/>
            <w:shd w:val="clear" w:color="auto" w:fill="auto"/>
            <w:tcMar>
              <w:top w:w="80" w:type="dxa"/>
              <w:left w:w="80" w:type="dxa"/>
              <w:bottom w:w="80" w:type="dxa"/>
              <w:right w:w="80" w:type="dxa"/>
            </w:tcMar>
          </w:tcPr>
          <w:p w:rsidR="000043DE" w:rsidRDefault="00AC35D7">
            <w:pPr>
              <w:pStyle w:val="Body"/>
              <w:spacing w:after="0" w:line="276" w:lineRule="auto"/>
            </w:pPr>
            <w:r>
              <w:rPr>
                <w:rFonts w:ascii="Times New Roman" w:hAnsi="Times New Roman"/>
                <w:sz w:val="24"/>
                <w:szCs w:val="24"/>
              </w:rPr>
              <w:t>0.12</w:t>
            </w:r>
          </w:p>
        </w:tc>
      </w:tr>
      <w:tr w:rsidR="00F34EBC" w:rsidTr="000C559D">
        <w:trPr>
          <w:trHeight w:val="300"/>
        </w:trPr>
        <w:tc>
          <w:tcPr>
            <w:tcW w:w="1379" w:type="dxa"/>
            <w:vMerge/>
            <w:shd w:val="clear" w:color="auto" w:fill="auto"/>
          </w:tcPr>
          <w:p w:rsidR="000043DE" w:rsidRDefault="000043DE"/>
        </w:tc>
        <w:tc>
          <w:tcPr>
            <w:tcW w:w="2396"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Profit margin ratio</w:t>
            </w:r>
          </w:p>
        </w:tc>
        <w:tc>
          <w:tcPr>
            <w:tcW w:w="3780" w:type="dxa"/>
            <w:shd w:val="clear" w:color="auto" w:fill="auto"/>
            <w:tcMar>
              <w:top w:w="80" w:type="dxa"/>
              <w:left w:w="80" w:type="dxa"/>
              <w:bottom w:w="80" w:type="dxa"/>
              <w:right w:w="80" w:type="dxa"/>
            </w:tcMar>
            <w:vAlign w:val="bottom"/>
          </w:tcPr>
          <w:p w:rsidR="000043DE" w:rsidRDefault="00AC35D7">
            <w:pPr>
              <w:pStyle w:val="NoSpacing"/>
              <w:spacing w:line="276" w:lineRule="auto"/>
            </w:pPr>
            <w:r>
              <w:rPr>
                <w:rFonts w:ascii="Times New Roman" w:hAnsi="Times New Roman"/>
                <w:sz w:val="24"/>
                <w:szCs w:val="24"/>
              </w:rPr>
              <w:t>Net Profit/Net Sales</w:t>
            </w:r>
          </w:p>
        </w:tc>
        <w:tc>
          <w:tcPr>
            <w:tcW w:w="788" w:type="dxa"/>
            <w:shd w:val="clear" w:color="auto" w:fill="auto"/>
            <w:tcMar>
              <w:top w:w="80" w:type="dxa"/>
              <w:left w:w="80" w:type="dxa"/>
              <w:bottom w:w="80" w:type="dxa"/>
              <w:right w:w="80" w:type="dxa"/>
            </w:tcMar>
          </w:tcPr>
          <w:p w:rsidR="000043DE" w:rsidRDefault="00AC35D7">
            <w:pPr>
              <w:pStyle w:val="Body"/>
              <w:spacing w:after="0" w:line="276" w:lineRule="auto"/>
              <w:jc w:val="center"/>
            </w:pPr>
            <w:r>
              <w:rPr>
                <w:rFonts w:ascii="Times New Roman" w:hAnsi="Times New Roman"/>
                <w:sz w:val="24"/>
                <w:szCs w:val="24"/>
              </w:rPr>
              <w:t>0.15</w:t>
            </w:r>
          </w:p>
        </w:tc>
        <w:tc>
          <w:tcPr>
            <w:tcW w:w="776" w:type="dxa"/>
            <w:shd w:val="clear" w:color="auto" w:fill="auto"/>
            <w:tcMar>
              <w:top w:w="80" w:type="dxa"/>
              <w:left w:w="80" w:type="dxa"/>
              <w:bottom w:w="80" w:type="dxa"/>
              <w:right w:w="80" w:type="dxa"/>
            </w:tcMar>
          </w:tcPr>
          <w:p w:rsidR="000043DE" w:rsidRDefault="00AC35D7">
            <w:pPr>
              <w:pStyle w:val="Body"/>
              <w:spacing w:after="0" w:line="276" w:lineRule="auto"/>
            </w:pPr>
            <w:r>
              <w:rPr>
                <w:rFonts w:ascii="Times New Roman" w:hAnsi="Times New Roman"/>
                <w:sz w:val="24"/>
                <w:szCs w:val="24"/>
              </w:rPr>
              <w:t>0.17</w:t>
            </w:r>
          </w:p>
        </w:tc>
        <w:tc>
          <w:tcPr>
            <w:tcW w:w="885" w:type="dxa"/>
            <w:shd w:val="clear" w:color="auto" w:fill="auto"/>
            <w:tcMar>
              <w:top w:w="80" w:type="dxa"/>
              <w:left w:w="80" w:type="dxa"/>
              <w:bottom w:w="80" w:type="dxa"/>
              <w:right w:w="80" w:type="dxa"/>
            </w:tcMar>
          </w:tcPr>
          <w:p w:rsidR="000043DE" w:rsidRDefault="00AC35D7">
            <w:pPr>
              <w:pStyle w:val="Body"/>
              <w:spacing w:after="0" w:line="276" w:lineRule="auto"/>
            </w:pPr>
            <w:r>
              <w:rPr>
                <w:rFonts w:ascii="Times New Roman" w:hAnsi="Times New Roman"/>
                <w:sz w:val="24"/>
                <w:szCs w:val="24"/>
              </w:rPr>
              <w:t>0.17</w:t>
            </w:r>
          </w:p>
        </w:tc>
      </w:tr>
    </w:tbl>
    <w:p w:rsidR="000043DE" w:rsidRDefault="000043DE">
      <w:pPr>
        <w:pStyle w:val="Body"/>
        <w:widowControl w:val="0"/>
        <w:spacing w:after="0" w:line="240" w:lineRule="auto"/>
        <w:rPr>
          <w:rFonts w:ascii="Times New Roman" w:eastAsia="Times New Roman" w:hAnsi="Times New Roman" w:cs="Times New Roman"/>
          <w:sz w:val="24"/>
          <w:szCs w:val="24"/>
        </w:rPr>
      </w:pPr>
    </w:p>
    <w:p w:rsidR="000043DE" w:rsidRDefault="00AC35D7">
      <w:pPr>
        <w:pStyle w:val="Body"/>
        <w:spacing w:after="200"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From </w:t>
      </w:r>
      <w:r>
        <w:rPr>
          <w:rFonts w:ascii="Times New Roman" w:hAnsi="Times New Roman"/>
          <w:i/>
          <w:iCs/>
          <w:sz w:val="24"/>
          <w:szCs w:val="24"/>
          <w:lang w:val="fr-FR"/>
        </w:rPr>
        <w:t>Table 1</w:t>
      </w:r>
      <w:r>
        <w:rPr>
          <w:rFonts w:ascii="Times New Roman" w:hAnsi="Times New Roman"/>
          <w:sz w:val="24"/>
          <w:szCs w:val="24"/>
        </w:rPr>
        <w:t xml:space="preserve"> above, it is clear that the company is currently unable to meet its short-term liabilities using its current assets. </w:t>
      </w:r>
      <w:r>
        <w:rPr>
          <w:rFonts w:ascii="Times New Roman" w:hAnsi="Times New Roman"/>
          <w:i/>
          <w:iCs/>
          <w:sz w:val="24"/>
          <w:szCs w:val="24"/>
          <w:lang w:val="it-IT"/>
        </w:rPr>
        <w:t>Figure 1</w:t>
      </w:r>
      <w:r>
        <w:rPr>
          <w:rFonts w:ascii="Times New Roman" w:hAnsi="Times New Roman"/>
          <w:sz w:val="24"/>
          <w:szCs w:val="24"/>
        </w:rPr>
        <w:t xml:space="preserve"> below clearly shows that the current ratio of the company was 1.3 in 2013 but dropped to 0.69 in 2014 and 0.71 in 2015. A current ratio that is below 1 indicates an underperformance regarding the management of the current assets and </w:t>
      </w:r>
      <w:r>
        <w:rPr>
          <w:rFonts w:ascii="Times New Roman" w:hAnsi="Times New Roman"/>
          <w:sz w:val="24"/>
          <w:szCs w:val="24"/>
        </w:rPr>
        <w:lastRenderedPageBreak/>
        <w:t xml:space="preserve">current liabilities. The ratio shows that Monsanto may be forced to borrow some finances to meet its short-term financial obligations or rely on creditors to ensure continued operations. Further, the company’s quick ratio is significantly weak and currently stands at 0.46 compared to 0.86, which was recorded in 2013. This implies as it is, the company is only able to meet approximately 46% of its short-term liabilities with its most liquid assets. The ratio is quite low and shows that inventory and debts finance a significant part of the current liabilities. </w:t>
      </w:r>
    </w:p>
    <w:p w:rsidR="000043DE" w:rsidRDefault="00AC35D7">
      <w:pPr>
        <w:pStyle w:val="Body"/>
        <w:spacing w:after="200"/>
        <w:rPr>
          <w:rFonts w:ascii="Times New Roman" w:eastAsia="Times New Roman" w:hAnsi="Times New Roman" w:cs="Times New Roman"/>
          <w:sz w:val="24"/>
          <w:szCs w:val="24"/>
        </w:rPr>
      </w:pPr>
      <w:r>
        <w:rPr>
          <w:noProof/>
        </w:rPr>
        <w:drawing>
          <wp:inline distT="0" distB="0" distL="0" distR="0">
            <wp:extent cx="5527783" cy="3371111"/>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43DE" w:rsidRDefault="00AC35D7">
      <w:pPr>
        <w:pStyle w:val="Body"/>
        <w:spacing w:after="200"/>
        <w:rPr>
          <w:rFonts w:ascii="Times New Roman" w:eastAsia="Times New Roman" w:hAnsi="Times New Roman" w:cs="Times New Roman"/>
          <w:sz w:val="24"/>
          <w:szCs w:val="24"/>
        </w:rPr>
      </w:pPr>
      <w:r>
        <w:rPr>
          <w:rFonts w:ascii="Times New Roman" w:hAnsi="Times New Roman"/>
          <w:i/>
          <w:iCs/>
          <w:sz w:val="24"/>
          <w:szCs w:val="24"/>
          <w:lang w:val="it-IT"/>
        </w:rPr>
        <w:t xml:space="preserve">Figure 1: </w:t>
      </w:r>
      <w:r>
        <w:rPr>
          <w:rFonts w:ascii="Times New Roman" w:hAnsi="Times New Roman"/>
          <w:sz w:val="24"/>
          <w:szCs w:val="24"/>
        </w:rPr>
        <w:t xml:space="preserve">Short-term solvency trends </w:t>
      </w:r>
    </w:p>
    <w:p w:rsidR="000043DE" w:rsidRDefault="00AC35D7">
      <w:pPr>
        <w:pStyle w:val="Body"/>
        <w:spacing w:after="200" w:line="480" w:lineRule="auto"/>
        <w:rPr>
          <w:rFonts w:ascii="Times New Roman" w:eastAsia="Times New Roman" w:hAnsi="Times New Roman" w:cs="Times New Roman"/>
          <w:sz w:val="24"/>
          <w:szCs w:val="24"/>
        </w:rPr>
      </w:pPr>
      <w:r>
        <w:rPr>
          <w:rFonts w:ascii="Times New Roman" w:hAnsi="Times New Roman"/>
          <w:sz w:val="24"/>
          <w:szCs w:val="24"/>
        </w:rPr>
        <w:t xml:space="preserve">  Regarding asset utilization, the asset turnover ratio stood at 0.68 and decreased from 0.72 recorded in both 2013 and 2014. Lin, Liang, and Chen (2011) posit that this ratio focuses on the efficiency of the firm to</w:t>
      </w:r>
      <w:r>
        <w:rPr>
          <w:rFonts w:ascii="Times New Roman" w:hAnsi="Times New Roman"/>
          <w:sz w:val="24"/>
          <w:szCs w:val="24"/>
          <w:lang w:val="de-DE"/>
        </w:rPr>
        <w:t xml:space="preserve"> generat</w:t>
      </w:r>
      <w:r>
        <w:rPr>
          <w:rFonts w:ascii="Times New Roman" w:hAnsi="Times New Roman"/>
          <w:sz w:val="24"/>
          <w:szCs w:val="24"/>
        </w:rPr>
        <w:t xml:space="preserve">e sales from its assets. In the case of Monsanto, it is seen that the company generates a sales revenue of $0.68 for every $1 invested in the assets. Because the company experienced a 5% decrease, asset utilization is still low and has declined from the previous years, an aspect that requires the company to take a deeper look at working on a </w:t>
      </w:r>
      <w:r>
        <w:rPr>
          <w:rFonts w:ascii="Times New Roman" w:hAnsi="Times New Roman"/>
          <w:sz w:val="24"/>
          <w:szCs w:val="24"/>
        </w:rPr>
        <w:lastRenderedPageBreak/>
        <w:t>strategic approach to improving the generation of more sales revenues from the invested assets</w:t>
      </w:r>
      <w:r>
        <w:rPr>
          <w:rFonts w:ascii="Times New Roman" w:hAnsi="Times New Roman"/>
          <w:sz w:val="24"/>
          <w:szCs w:val="24"/>
          <w:lang w:val="pt-PT"/>
        </w:rPr>
        <w:t xml:space="preserve">. As </w:t>
      </w:r>
      <w:r>
        <w:rPr>
          <w:rFonts w:ascii="Times New Roman" w:hAnsi="Times New Roman"/>
          <w:sz w:val="24"/>
          <w:szCs w:val="24"/>
        </w:rPr>
        <w:t xml:space="preserve">seen in </w:t>
      </w:r>
      <w:r>
        <w:rPr>
          <w:rFonts w:ascii="Times New Roman" w:hAnsi="Times New Roman"/>
          <w:i/>
          <w:iCs/>
          <w:sz w:val="24"/>
          <w:szCs w:val="24"/>
          <w:lang w:val="it-IT"/>
        </w:rPr>
        <w:t>figure 2</w:t>
      </w:r>
      <w:r>
        <w:rPr>
          <w:rFonts w:ascii="Times New Roman" w:hAnsi="Times New Roman"/>
          <w:sz w:val="24"/>
          <w:szCs w:val="24"/>
        </w:rPr>
        <w:t xml:space="preserve"> below, and the summary in </w:t>
      </w:r>
      <w:r>
        <w:rPr>
          <w:rFonts w:ascii="Times New Roman" w:hAnsi="Times New Roman"/>
          <w:i/>
          <w:iCs/>
          <w:sz w:val="24"/>
          <w:szCs w:val="24"/>
          <w:lang w:val="fr-FR"/>
        </w:rPr>
        <w:t>Table 1</w:t>
      </w:r>
      <w:r>
        <w:rPr>
          <w:rFonts w:ascii="Times New Roman" w:hAnsi="Times New Roman"/>
          <w:sz w:val="24"/>
          <w:szCs w:val="24"/>
        </w:rPr>
        <w:t xml:space="preserve"> above, there is a perpetual decrease in the inventory turnover ratio; as of 2015, the inventory turnover ratio stood at 1.95. The decreasing trend concerning this ratio shows decreased liquidity by the company; hence, Monsanto is experiencing increasing difficulties in its ability to convert its inventory into cash. </w:t>
      </w:r>
    </w:p>
    <w:p w:rsidR="000043DE" w:rsidRDefault="00AC35D7">
      <w:pPr>
        <w:pStyle w:val="Body"/>
        <w:spacing w:after="200" w:line="480" w:lineRule="auto"/>
        <w:rPr>
          <w:rFonts w:ascii="Times New Roman" w:eastAsia="Times New Roman" w:hAnsi="Times New Roman" w:cs="Times New Roman"/>
          <w:b/>
          <w:bCs/>
          <w:sz w:val="24"/>
          <w:szCs w:val="24"/>
        </w:rPr>
      </w:pPr>
      <w:r>
        <w:rPr>
          <w:noProof/>
        </w:rPr>
        <w:drawing>
          <wp:inline distT="0" distB="0" distL="0" distR="0">
            <wp:extent cx="5944962" cy="3154785"/>
            <wp:effectExtent l="0" t="0" r="0" 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43DE" w:rsidRDefault="00AC35D7">
      <w:pPr>
        <w:pStyle w:val="Body"/>
        <w:spacing w:after="200"/>
        <w:rPr>
          <w:rFonts w:ascii="Times New Roman" w:eastAsia="Times New Roman" w:hAnsi="Times New Roman" w:cs="Times New Roman"/>
          <w:sz w:val="24"/>
          <w:szCs w:val="24"/>
        </w:rPr>
      </w:pPr>
      <w:r>
        <w:rPr>
          <w:rFonts w:ascii="Times New Roman" w:hAnsi="Times New Roman"/>
          <w:i/>
          <w:iCs/>
          <w:sz w:val="24"/>
          <w:szCs w:val="24"/>
        </w:rPr>
        <w:t xml:space="preserve">Figure 2: </w:t>
      </w:r>
      <w:r>
        <w:rPr>
          <w:rFonts w:ascii="Times New Roman" w:hAnsi="Times New Roman"/>
          <w:sz w:val="24"/>
          <w:szCs w:val="24"/>
        </w:rPr>
        <w:t xml:space="preserve">Asset utilization trends </w:t>
      </w:r>
    </w:p>
    <w:p w:rsidR="000043DE" w:rsidRDefault="00AC35D7">
      <w:pPr>
        <w:pStyle w:val="Body"/>
        <w:spacing w:after="200"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 From a long term solvency perspective, the debt ratio (debt to asset ratio) shows an increasing trend (see </w:t>
      </w:r>
      <w:r>
        <w:rPr>
          <w:rFonts w:ascii="Times New Roman" w:hAnsi="Times New Roman"/>
          <w:i/>
          <w:iCs/>
          <w:sz w:val="24"/>
          <w:szCs w:val="24"/>
          <w:lang w:val="it-IT"/>
        </w:rPr>
        <w:t>Figure 3</w:t>
      </w:r>
      <w:r>
        <w:rPr>
          <w:rFonts w:ascii="Times New Roman" w:hAnsi="Times New Roman"/>
          <w:sz w:val="24"/>
          <w:szCs w:val="24"/>
        </w:rPr>
        <w:t xml:space="preserve"> below), with the company recording a ratio of 0.68 in 2015 as compared to 0.39 in 2013. This indicates that approximately 68% of the company's total assets are financed through debts. Further, this debt seems to be growing at a high rate, from 39% in 2013 to 64% in 2014 and 68% in 2015. The trend depicts an increasing financial risk as a result of the increasing Degree of Leverage (</w:t>
      </w:r>
      <w:proofErr w:type="spellStart"/>
      <w:r>
        <w:rPr>
          <w:rFonts w:ascii="Times New Roman" w:hAnsi="Times New Roman"/>
          <w:sz w:val="24"/>
          <w:szCs w:val="24"/>
        </w:rPr>
        <w:t>DoL</w:t>
      </w:r>
      <w:proofErr w:type="spellEnd"/>
      <w:r>
        <w:rPr>
          <w:rFonts w:ascii="Times New Roman" w:hAnsi="Times New Roman"/>
          <w:sz w:val="24"/>
          <w:szCs w:val="24"/>
        </w:rPr>
        <w:t xml:space="preserve">). On the other and, the debt to equity ratio has also increased at a very high rate, from 0.65 in 2013 to 1.78 in 2014 and finally 2.14 in 2015. </w:t>
      </w:r>
      <w:r>
        <w:rPr>
          <w:rFonts w:ascii="Times New Roman" w:hAnsi="Times New Roman"/>
          <w:sz w:val="24"/>
          <w:szCs w:val="24"/>
          <w:shd w:val="clear" w:color="auto" w:fill="FFFFFF"/>
          <w:lang w:val="de-DE"/>
        </w:rPr>
        <w:t xml:space="preserve">White, </w:t>
      </w:r>
      <w:r>
        <w:rPr>
          <w:rFonts w:ascii="Times New Roman" w:hAnsi="Times New Roman"/>
          <w:sz w:val="24"/>
          <w:szCs w:val="24"/>
          <w:shd w:val="clear" w:color="auto" w:fill="FFFFFF"/>
          <w:lang w:val="de-DE"/>
        </w:rPr>
        <w:lastRenderedPageBreak/>
        <w:t>Sondh and Fried (2005)</w:t>
      </w:r>
      <w:r>
        <w:rPr>
          <w:rFonts w:ascii="Times New Roman" w:hAnsi="Times New Roman"/>
          <w:sz w:val="24"/>
          <w:szCs w:val="24"/>
        </w:rPr>
        <w:t xml:space="preserve"> explain that increasing ratio indicates increasing financial risk by the company as it shows that the company is using more and more debt to finance its operations. This finding from Monsanto financial reports is also supported by the decreasing interest coverage ratio, which from </w:t>
      </w:r>
      <w:r>
        <w:rPr>
          <w:rFonts w:ascii="Times New Roman" w:hAnsi="Times New Roman"/>
          <w:i/>
          <w:iCs/>
          <w:sz w:val="24"/>
          <w:szCs w:val="24"/>
          <w:lang w:val="de-DE"/>
        </w:rPr>
        <w:t>Figure</w:t>
      </w:r>
      <w:r>
        <w:rPr>
          <w:rFonts w:ascii="Times New Roman" w:hAnsi="Times New Roman"/>
          <w:sz w:val="24"/>
          <w:szCs w:val="24"/>
        </w:rPr>
        <w:t xml:space="preserve"> </w:t>
      </w:r>
      <w:r>
        <w:rPr>
          <w:rFonts w:ascii="Times New Roman" w:hAnsi="Times New Roman"/>
          <w:i/>
          <w:iCs/>
          <w:sz w:val="24"/>
          <w:szCs w:val="24"/>
        </w:rPr>
        <w:t>3</w:t>
      </w:r>
      <w:r>
        <w:rPr>
          <w:rFonts w:ascii="Times New Roman" w:hAnsi="Times New Roman"/>
          <w:sz w:val="24"/>
          <w:szCs w:val="24"/>
        </w:rPr>
        <w:t xml:space="preserve"> below, has decreased from 20.94 in 2013 to 8.3 in 2015. The decreasing coverage ratio indicates a reduced margin of safety that Monsanto has regarding the payment of interest within a specific period in case of financial upheaval. </w:t>
      </w:r>
    </w:p>
    <w:p w:rsidR="000043DE" w:rsidRDefault="00AC35D7">
      <w:pPr>
        <w:pStyle w:val="Body"/>
        <w:spacing w:after="200"/>
        <w:rPr>
          <w:rFonts w:ascii="Times New Roman" w:eastAsia="Times New Roman" w:hAnsi="Times New Roman" w:cs="Times New Roman"/>
          <w:sz w:val="24"/>
          <w:szCs w:val="24"/>
        </w:rPr>
      </w:pPr>
      <w:r>
        <w:rPr>
          <w:noProof/>
        </w:rPr>
        <w:drawing>
          <wp:inline distT="0" distB="0" distL="0" distR="0">
            <wp:extent cx="4991843" cy="2739390"/>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43DE" w:rsidRDefault="00AC35D7">
      <w:pPr>
        <w:pStyle w:val="Body"/>
        <w:spacing w:after="200"/>
        <w:rPr>
          <w:rFonts w:ascii="Times New Roman" w:eastAsia="Times New Roman" w:hAnsi="Times New Roman" w:cs="Times New Roman"/>
          <w:sz w:val="24"/>
          <w:szCs w:val="24"/>
        </w:rPr>
      </w:pPr>
      <w:r>
        <w:rPr>
          <w:rFonts w:ascii="Times New Roman" w:hAnsi="Times New Roman"/>
          <w:i/>
          <w:iCs/>
          <w:sz w:val="24"/>
          <w:szCs w:val="24"/>
          <w:lang w:val="it-IT"/>
        </w:rPr>
        <w:t xml:space="preserve">Figure 3: </w:t>
      </w:r>
      <w:r>
        <w:rPr>
          <w:rFonts w:ascii="Times New Roman" w:hAnsi="Times New Roman"/>
          <w:sz w:val="24"/>
          <w:szCs w:val="24"/>
        </w:rPr>
        <w:t xml:space="preserve">Long-term solvency trends </w:t>
      </w:r>
    </w:p>
    <w:p w:rsidR="000043DE" w:rsidRDefault="00AC35D7">
      <w:pPr>
        <w:pStyle w:val="Body"/>
        <w:spacing w:after="200" w:line="480" w:lineRule="auto"/>
        <w:ind w:firstLine="720"/>
        <w:rPr>
          <w:rFonts w:ascii="Times New Roman" w:eastAsia="Times New Roman" w:hAnsi="Times New Roman" w:cs="Times New Roman"/>
          <w:sz w:val="24"/>
          <w:szCs w:val="24"/>
        </w:rPr>
      </w:pPr>
      <w:r>
        <w:rPr>
          <w:rFonts w:ascii="Times New Roman" w:hAnsi="Times New Roman"/>
          <w:sz w:val="24"/>
          <w:szCs w:val="24"/>
        </w:rPr>
        <w:t>From the profitability ratio perspective, the company profit margin ratio had also experienced a slight decline from 17.3% in 2014 to 15.4% in 2015. While such a decline may appear negligible, it is associated with millions of dollars and hence a significant loss to the shareholders. The return on assets of the company has also reduced from 0.13 in 2014 to 0.11 in 2015. This indicates that the net income being generated for every invested dollar is also declining.</w:t>
      </w:r>
    </w:p>
    <w:p w:rsidR="000043DE" w:rsidRDefault="00AC35D7">
      <w:pPr>
        <w:pStyle w:val="Body"/>
        <w:spacing w:after="200"/>
        <w:rPr>
          <w:rFonts w:ascii="Times New Roman" w:eastAsia="Times New Roman" w:hAnsi="Times New Roman" w:cs="Times New Roman"/>
          <w:sz w:val="24"/>
          <w:szCs w:val="24"/>
        </w:rPr>
      </w:pPr>
      <w:r>
        <w:rPr>
          <w:noProof/>
        </w:rPr>
        <w:lastRenderedPageBreak/>
        <w:drawing>
          <wp:inline distT="0" distB="0" distL="0" distR="0">
            <wp:extent cx="5442323" cy="2489160"/>
            <wp:effectExtent l="0" t="0" r="0" b="0"/>
            <wp:docPr id="107374182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43DE" w:rsidRDefault="00AC35D7">
      <w:pPr>
        <w:pStyle w:val="Body"/>
        <w:spacing w:after="200"/>
        <w:rPr>
          <w:rFonts w:ascii="Times New Roman" w:eastAsia="Times New Roman" w:hAnsi="Times New Roman" w:cs="Times New Roman"/>
          <w:sz w:val="24"/>
          <w:szCs w:val="24"/>
        </w:rPr>
      </w:pPr>
      <w:r>
        <w:rPr>
          <w:rFonts w:ascii="Times New Roman" w:hAnsi="Times New Roman"/>
          <w:i/>
          <w:iCs/>
          <w:sz w:val="24"/>
          <w:szCs w:val="24"/>
          <w:lang w:val="it-IT"/>
        </w:rPr>
        <w:t xml:space="preserve">Figure 4: </w:t>
      </w:r>
      <w:r>
        <w:rPr>
          <w:rFonts w:ascii="Times New Roman" w:hAnsi="Times New Roman"/>
          <w:sz w:val="24"/>
          <w:szCs w:val="24"/>
        </w:rPr>
        <w:t xml:space="preserve">Profitability trends </w:t>
      </w:r>
    </w:p>
    <w:p w:rsidR="000043DE" w:rsidRDefault="00AC35D7">
      <w:pPr>
        <w:pStyle w:val="Body"/>
        <w:spacing w:after="200" w:line="480" w:lineRule="auto"/>
        <w:jc w:val="center"/>
        <w:rPr>
          <w:rFonts w:ascii="Times New Roman" w:eastAsia="Times New Roman" w:hAnsi="Times New Roman" w:cs="Times New Roman"/>
          <w:b/>
          <w:bCs/>
          <w:sz w:val="24"/>
          <w:szCs w:val="24"/>
        </w:rPr>
      </w:pPr>
      <w:r>
        <w:rPr>
          <w:rFonts w:ascii="Times New Roman" w:hAnsi="Times New Roman"/>
          <w:b/>
          <w:bCs/>
          <w:sz w:val="24"/>
          <w:szCs w:val="24"/>
          <w:lang w:val="it-IT"/>
        </w:rPr>
        <w:t>Acquisition Decision</w:t>
      </w:r>
    </w:p>
    <w:p w:rsidR="00B23D49" w:rsidRDefault="00AC35D7" w:rsidP="004321D1">
      <w:pPr>
        <w:pStyle w:val="Body"/>
        <w:spacing w:after="200" w:line="480" w:lineRule="auto"/>
        <w:ind w:firstLine="720"/>
        <w:rPr>
          <w:rFonts w:ascii="Times New Roman" w:hAnsi="Times New Roman"/>
          <w:sz w:val="24"/>
          <w:szCs w:val="24"/>
          <w:shd w:val="clear" w:color="auto" w:fill="FFFFFF"/>
        </w:rPr>
      </w:pPr>
      <w:r>
        <w:rPr>
          <w:rFonts w:ascii="Times New Roman" w:hAnsi="Times New Roman"/>
          <w:sz w:val="24"/>
          <w:szCs w:val="24"/>
        </w:rPr>
        <w:t xml:space="preserve">Monsanto’s share price increased by 8.7% following the announcement that Bayer was considering a bid to acquire it. </w:t>
      </w:r>
      <w:proofErr w:type="spellStart"/>
      <w:r>
        <w:rPr>
          <w:rFonts w:ascii="Times New Roman" w:hAnsi="Times New Roman"/>
          <w:sz w:val="24"/>
          <w:szCs w:val="24"/>
          <w:shd w:val="clear" w:color="auto" w:fill="FFFFFF"/>
        </w:rPr>
        <w:t>Sanju</w:t>
      </w:r>
      <w:proofErr w:type="spellEnd"/>
      <w:r>
        <w:rPr>
          <w:rFonts w:ascii="Times New Roman" w:hAnsi="Times New Roman"/>
          <w:sz w:val="24"/>
          <w:szCs w:val="24"/>
          <w:shd w:val="clear" w:color="auto" w:fill="FFFFFF"/>
        </w:rPr>
        <w:t>, Ramachandran, and Nirmala, (2011)</w:t>
      </w:r>
      <w:r>
        <w:rPr>
          <w:rFonts w:ascii="Times New Roman" w:hAnsi="Times New Roman"/>
          <w:sz w:val="24"/>
          <w:szCs w:val="24"/>
        </w:rPr>
        <w:t xml:space="preserve"> argue that an increase in share price does not necessarily reflect increased profitability and better financial performance of a firm; this is because the latter is often subject to influence by other factors, including (but not limited to) market speculations and investors’ sentiments, attitudes, and expectations. Thus, the increase in share price following the announcements does not imply that the company should consider the $62 Billion offered by Bayer. Despite the rise in share capital, Monsanto sales also decreased by </w:t>
      </w:r>
      <w:r>
        <w:rPr>
          <w:rFonts w:ascii="Times New Roman" w:hAnsi="Times New Roman"/>
          <w:sz w:val="24"/>
          <w:szCs w:val="24"/>
          <w:shd w:val="clear" w:color="auto" w:fill="FFFFFF"/>
        </w:rPr>
        <w:t xml:space="preserve">5% to $15 billion. From the ratio analysis presented, the company’s performance is deteriorating, depicted by their substantial debts and reducing profitability. </w:t>
      </w:r>
      <w:r w:rsidRPr="00B23D49">
        <w:rPr>
          <w:rFonts w:ascii="Times New Roman" w:hAnsi="Times New Roman"/>
          <w:sz w:val="24"/>
          <w:szCs w:val="24"/>
          <w:shd w:val="clear" w:color="auto" w:fill="FFFFFF"/>
        </w:rPr>
        <w:t>From the profitability perspective, the company profit margin ratio had also experienced a slight decline from 17.3% in 2014 to 15.4% in 2015.</w:t>
      </w:r>
    </w:p>
    <w:p w:rsidR="00B23D49" w:rsidRDefault="00AC35D7" w:rsidP="004321D1">
      <w:pPr>
        <w:pStyle w:val="Body"/>
        <w:spacing w:after="200" w:line="480" w:lineRule="auto"/>
        <w:ind w:firstLine="720"/>
        <w:rPr>
          <w:rFonts w:ascii="Times New Roman" w:hAnsi="Times New Roman"/>
          <w:sz w:val="24"/>
          <w:szCs w:val="24"/>
          <w:shd w:val="clear" w:color="auto" w:fill="FFFFFF"/>
        </w:rPr>
      </w:pPr>
      <w:r>
        <w:rPr>
          <w:rFonts w:ascii="Times New Roman" w:hAnsi="Times New Roman"/>
          <w:sz w:val="24"/>
          <w:szCs w:val="24"/>
          <w:shd w:val="clear" w:color="auto" w:fill="FFFFFF"/>
        </w:rPr>
        <w:t>Nevertheless,</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the r</w:t>
      </w:r>
      <w:r w:rsidRPr="00B23D49">
        <w:rPr>
          <w:rFonts w:ascii="Times New Roman" w:hAnsi="Times New Roman"/>
          <w:sz w:val="24"/>
          <w:szCs w:val="24"/>
          <w:shd w:val="clear" w:color="auto" w:fill="FFFFFF"/>
        </w:rPr>
        <w:t>ise in assets seems to indicate there is some investment going on so future performance may be better than past performance.</w:t>
      </w:r>
      <w:r>
        <w:rPr>
          <w:rFonts w:ascii="Times New Roman" w:hAnsi="Times New Roman"/>
          <w:sz w:val="24"/>
          <w:szCs w:val="24"/>
          <w:shd w:val="clear" w:color="auto" w:fill="FFFFFF"/>
        </w:rPr>
        <w:t xml:space="preserve"> </w:t>
      </w:r>
      <w:r w:rsidR="004321D1">
        <w:rPr>
          <w:rFonts w:ascii="Times New Roman" w:hAnsi="Times New Roman"/>
          <w:sz w:val="24"/>
          <w:szCs w:val="24"/>
          <w:shd w:val="clear" w:color="auto" w:fill="FFFFFF"/>
        </w:rPr>
        <w:t>However</w:t>
      </w:r>
      <w:r>
        <w:rPr>
          <w:rFonts w:ascii="Times New Roman" w:hAnsi="Times New Roman"/>
          <w:sz w:val="24"/>
          <w:szCs w:val="24"/>
          <w:shd w:val="clear" w:color="auto" w:fill="FFFFFF"/>
        </w:rPr>
        <w:t>,</w:t>
      </w:r>
      <w:r w:rsidR="00796978">
        <w:rPr>
          <w:rFonts w:ascii="Times New Roman" w:hAnsi="Times New Roman"/>
          <w:sz w:val="24"/>
          <w:szCs w:val="24"/>
          <w:shd w:val="clear" w:color="auto" w:fill="FFFFFF"/>
        </w:rPr>
        <w:t xml:space="preserve"> </w:t>
      </w:r>
      <w:r w:rsidR="004321D1">
        <w:rPr>
          <w:rFonts w:ascii="Times New Roman" w:hAnsi="Times New Roman"/>
          <w:sz w:val="24"/>
          <w:szCs w:val="24"/>
          <w:shd w:val="clear" w:color="auto" w:fill="FFFFFF"/>
        </w:rPr>
        <w:t>owing</w:t>
      </w:r>
      <w:r>
        <w:rPr>
          <w:rFonts w:ascii="Times New Roman" w:hAnsi="Times New Roman"/>
          <w:sz w:val="24"/>
          <w:szCs w:val="24"/>
          <w:shd w:val="clear" w:color="auto" w:fill="FFFFFF"/>
        </w:rPr>
        <w:t xml:space="preserve"> to the fact that the </w:t>
      </w:r>
      <w:r>
        <w:rPr>
          <w:rFonts w:ascii="Times New Roman" w:hAnsi="Times New Roman"/>
          <w:sz w:val="24"/>
          <w:szCs w:val="24"/>
          <w:shd w:val="clear" w:color="auto" w:fill="FFFFFF"/>
        </w:rPr>
        <w:lastRenderedPageBreak/>
        <w:t>firm has</w:t>
      </w:r>
      <w:r w:rsidR="00796978">
        <w:rPr>
          <w:rFonts w:ascii="Times New Roman" w:hAnsi="Times New Roman"/>
          <w:sz w:val="24"/>
          <w:szCs w:val="24"/>
          <w:shd w:val="clear" w:color="auto" w:fill="FFFFFF"/>
        </w:rPr>
        <w:t xml:space="preserve"> </w:t>
      </w:r>
      <w:r w:rsidR="004321D1">
        <w:rPr>
          <w:rFonts w:ascii="Times New Roman" w:hAnsi="Times New Roman"/>
          <w:sz w:val="24"/>
          <w:szCs w:val="24"/>
          <w:shd w:val="clear" w:color="auto" w:fill="FFFFFF"/>
        </w:rPr>
        <w:t>been</w:t>
      </w:r>
      <w:r>
        <w:rPr>
          <w:rFonts w:ascii="Times New Roman" w:hAnsi="Times New Roman"/>
          <w:sz w:val="24"/>
          <w:szCs w:val="24"/>
          <w:shd w:val="clear" w:color="auto" w:fill="FFFFFF"/>
        </w:rPr>
        <w:t xml:space="preserve"> experiencing </w:t>
      </w:r>
      <w:r w:rsidR="004321D1">
        <w:rPr>
          <w:rFonts w:ascii="Times New Roman" w:hAnsi="Times New Roman"/>
          <w:sz w:val="24"/>
          <w:szCs w:val="24"/>
          <w:shd w:val="clear" w:color="auto" w:fill="FFFFFF"/>
        </w:rPr>
        <w:t>declining performance</w:t>
      </w:r>
      <w:r>
        <w:rPr>
          <w:rFonts w:ascii="Times New Roman" w:hAnsi="Times New Roman"/>
          <w:sz w:val="24"/>
          <w:szCs w:val="24"/>
          <w:shd w:val="clear" w:color="auto" w:fill="FFFFFF"/>
        </w:rPr>
        <w:t>, it is uncertain w</w:t>
      </w:r>
      <w:r w:rsidR="004321D1">
        <w:rPr>
          <w:rFonts w:ascii="Times New Roman" w:hAnsi="Times New Roman"/>
          <w:sz w:val="24"/>
          <w:szCs w:val="24"/>
          <w:shd w:val="clear" w:color="auto" w:fill="FFFFFF"/>
        </w:rPr>
        <w:t>he</w:t>
      </w:r>
      <w:r>
        <w:rPr>
          <w:rFonts w:ascii="Times New Roman" w:hAnsi="Times New Roman"/>
          <w:sz w:val="24"/>
          <w:szCs w:val="24"/>
          <w:shd w:val="clear" w:color="auto" w:fill="FFFFFF"/>
        </w:rPr>
        <w:t>ther such inve</w:t>
      </w:r>
      <w:r w:rsidR="004321D1">
        <w:rPr>
          <w:rFonts w:ascii="Times New Roman" w:hAnsi="Times New Roman"/>
          <w:sz w:val="24"/>
          <w:szCs w:val="24"/>
          <w:shd w:val="clear" w:color="auto" w:fill="FFFFFF"/>
        </w:rPr>
        <w:t>st</w:t>
      </w:r>
      <w:r>
        <w:rPr>
          <w:rFonts w:ascii="Times New Roman" w:hAnsi="Times New Roman"/>
          <w:sz w:val="24"/>
          <w:szCs w:val="24"/>
          <w:shd w:val="clear" w:color="auto" w:fill="FFFFFF"/>
        </w:rPr>
        <w:t>ment will</w:t>
      </w:r>
      <w:r w:rsidR="00796978">
        <w:rPr>
          <w:rFonts w:ascii="Times New Roman" w:hAnsi="Times New Roman"/>
          <w:sz w:val="24"/>
          <w:szCs w:val="24"/>
          <w:shd w:val="clear" w:color="auto" w:fill="FFFFFF"/>
        </w:rPr>
        <w:t xml:space="preserve"> </w:t>
      </w:r>
      <w:r w:rsidR="004321D1">
        <w:rPr>
          <w:rFonts w:ascii="Times New Roman" w:hAnsi="Times New Roman"/>
          <w:sz w:val="24"/>
          <w:szCs w:val="24"/>
          <w:shd w:val="clear" w:color="auto" w:fill="FFFFFF"/>
        </w:rPr>
        <w:t>improve</w:t>
      </w:r>
      <w:r>
        <w:rPr>
          <w:rFonts w:ascii="Times New Roman" w:hAnsi="Times New Roman"/>
          <w:sz w:val="24"/>
          <w:szCs w:val="24"/>
          <w:shd w:val="clear" w:color="auto" w:fill="FFFFFF"/>
        </w:rPr>
        <w:t xml:space="preserve"> the </w:t>
      </w:r>
      <w:r w:rsidR="004321D1">
        <w:rPr>
          <w:rFonts w:ascii="Times New Roman" w:hAnsi="Times New Roman"/>
          <w:sz w:val="24"/>
          <w:szCs w:val="24"/>
          <w:shd w:val="clear" w:color="auto" w:fill="FFFFFF"/>
        </w:rPr>
        <w:t>profitability</w:t>
      </w:r>
      <w:r>
        <w:rPr>
          <w:rFonts w:ascii="Times New Roman" w:hAnsi="Times New Roman"/>
          <w:sz w:val="24"/>
          <w:szCs w:val="24"/>
          <w:shd w:val="clear" w:color="auto" w:fill="FFFFFF"/>
        </w:rPr>
        <w:t xml:space="preserve"> of the firm and w</w:t>
      </w:r>
      <w:r w:rsidR="004321D1">
        <w:rPr>
          <w:rFonts w:ascii="Times New Roman" w:hAnsi="Times New Roman"/>
          <w:sz w:val="24"/>
          <w:szCs w:val="24"/>
          <w:shd w:val="clear" w:color="auto" w:fill="FFFFFF"/>
        </w:rPr>
        <w:t>he</w:t>
      </w:r>
      <w:r>
        <w:rPr>
          <w:rFonts w:ascii="Times New Roman" w:hAnsi="Times New Roman"/>
          <w:sz w:val="24"/>
          <w:szCs w:val="24"/>
          <w:shd w:val="clear" w:color="auto" w:fill="FFFFFF"/>
        </w:rPr>
        <w:t>ther it will</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revitalize the </w:t>
      </w:r>
      <w:r w:rsidR="004321D1">
        <w:rPr>
          <w:rFonts w:ascii="Times New Roman" w:hAnsi="Times New Roman"/>
          <w:sz w:val="24"/>
          <w:szCs w:val="24"/>
          <w:shd w:val="clear" w:color="auto" w:fill="FFFFFF"/>
        </w:rPr>
        <w:t>operations</w:t>
      </w:r>
      <w:r>
        <w:rPr>
          <w:rFonts w:ascii="Times New Roman" w:hAnsi="Times New Roman"/>
          <w:sz w:val="24"/>
          <w:szCs w:val="24"/>
          <w:shd w:val="clear" w:color="auto" w:fill="FFFFFF"/>
        </w:rPr>
        <w:t>. Further, even with the increased</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assets, the current</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and quick </w:t>
      </w:r>
      <w:r w:rsidR="004321D1">
        <w:rPr>
          <w:rFonts w:ascii="Times New Roman" w:hAnsi="Times New Roman"/>
          <w:sz w:val="24"/>
          <w:szCs w:val="24"/>
          <w:shd w:val="clear" w:color="auto" w:fill="FFFFFF"/>
        </w:rPr>
        <w:t>ratios</w:t>
      </w:r>
      <w:r>
        <w:rPr>
          <w:rFonts w:ascii="Times New Roman" w:hAnsi="Times New Roman"/>
          <w:sz w:val="24"/>
          <w:szCs w:val="24"/>
          <w:shd w:val="clear" w:color="auto" w:fill="FFFFFF"/>
        </w:rPr>
        <w:t xml:space="preserve"> are still low,</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which implies that the firm</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may be incapable of </w:t>
      </w:r>
      <w:r w:rsidR="004321D1">
        <w:rPr>
          <w:rFonts w:ascii="Times New Roman" w:hAnsi="Times New Roman"/>
          <w:sz w:val="24"/>
          <w:szCs w:val="24"/>
          <w:shd w:val="clear" w:color="auto" w:fill="FFFFFF"/>
        </w:rPr>
        <w:t>servicing</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w:t>
      </w:r>
      <w:r w:rsidR="00796978">
        <w:rPr>
          <w:rFonts w:ascii="Times New Roman" w:hAnsi="Times New Roman"/>
          <w:sz w:val="24"/>
          <w:szCs w:val="24"/>
          <w:shd w:val="clear" w:color="auto" w:fill="FFFFFF"/>
        </w:rPr>
        <w:t xml:space="preserve"> </w:t>
      </w:r>
      <w:r w:rsidR="004321D1">
        <w:rPr>
          <w:rFonts w:ascii="Times New Roman" w:hAnsi="Times New Roman"/>
          <w:sz w:val="24"/>
          <w:szCs w:val="24"/>
          <w:shd w:val="clear" w:color="auto" w:fill="FFFFFF"/>
        </w:rPr>
        <w:t>substantial</w:t>
      </w:r>
      <w:r>
        <w:rPr>
          <w:rFonts w:ascii="Times New Roman" w:hAnsi="Times New Roman"/>
          <w:sz w:val="24"/>
          <w:szCs w:val="24"/>
          <w:shd w:val="clear" w:color="auto" w:fill="FFFFFF"/>
        </w:rPr>
        <w:t xml:space="preserve"> percentage of</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the</w:t>
      </w:r>
      <w:r w:rsidR="00796978">
        <w:rPr>
          <w:rFonts w:ascii="Times New Roman" w:hAnsi="Times New Roman"/>
          <w:sz w:val="24"/>
          <w:szCs w:val="24"/>
          <w:shd w:val="clear" w:color="auto" w:fill="FFFFFF"/>
        </w:rPr>
        <w:t xml:space="preserve"> </w:t>
      </w:r>
      <w:r w:rsidR="004321D1">
        <w:rPr>
          <w:rFonts w:ascii="Times New Roman" w:hAnsi="Times New Roman"/>
          <w:sz w:val="24"/>
          <w:szCs w:val="24"/>
          <w:shd w:val="clear" w:color="auto" w:fill="FFFFFF"/>
        </w:rPr>
        <w:t>short-term</w:t>
      </w:r>
      <w:r w:rsidR="00796978">
        <w:rPr>
          <w:rFonts w:ascii="Times New Roman" w:hAnsi="Times New Roman"/>
          <w:sz w:val="24"/>
          <w:szCs w:val="24"/>
          <w:shd w:val="clear" w:color="auto" w:fill="FFFFFF"/>
        </w:rPr>
        <w:t xml:space="preserve"> </w:t>
      </w:r>
      <w:r w:rsidR="004321D1">
        <w:rPr>
          <w:rFonts w:ascii="Times New Roman" w:hAnsi="Times New Roman"/>
          <w:sz w:val="24"/>
          <w:szCs w:val="24"/>
          <w:shd w:val="clear" w:color="auto" w:fill="FFFFFF"/>
        </w:rPr>
        <w:t>obligation</w:t>
      </w:r>
      <w:r>
        <w:rPr>
          <w:rFonts w:ascii="Times New Roman" w:hAnsi="Times New Roman"/>
          <w:sz w:val="24"/>
          <w:szCs w:val="24"/>
          <w:shd w:val="clear" w:color="auto" w:fill="FFFFFF"/>
        </w:rPr>
        <w:t xml:space="preserve"> in case of a </w:t>
      </w:r>
      <w:r w:rsidR="004321D1">
        <w:rPr>
          <w:rFonts w:ascii="Times New Roman" w:hAnsi="Times New Roman"/>
          <w:sz w:val="24"/>
          <w:szCs w:val="24"/>
          <w:shd w:val="clear" w:color="auto" w:fill="FFFFFF"/>
        </w:rPr>
        <w:t>financial</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upheaval; such a risk</w:t>
      </w:r>
      <w:r w:rsidR="00796978">
        <w:rPr>
          <w:rFonts w:ascii="Times New Roman" w:hAnsi="Times New Roman"/>
          <w:sz w:val="24"/>
          <w:szCs w:val="24"/>
          <w:shd w:val="clear" w:color="auto" w:fill="FFFFFF"/>
        </w:rPr>
        <w:t xml:space="preserve"> </w:t>
      </w:r>
      <w:r w:rsidR="004321D1">
        <w:rPr>
          <w:rFonts w:ascii="Times New Roman" w:hAnsi="Times New Roman"/>
          <w:sz w:val="24"/>
          <w:szCs w:val="24"/>
          <w:shd w:val="clear" w:color="auto" w:fill="FFFFFF"/>
        </w:rPr>
        <w:t>undermine</w:t>
      </w:r>
      <w:r>
        <w:rPr>
          <w:rFonts w:ascii="Times New Roman" w:hAnsi="Times New Roman"/>
          <w:sz w:val="24"/>
          <w:szCs w:val="24"/>
          <w:shd w:val="clear" w:color="auto" w:fill="FFFFFF"/>
        </w:rPr>
        <w:t>s</w:t>
      </w:r>
      <w:r w:rsidR="004321D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the</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possibility of</w:t>
      </w:r>
      <w:r w:rsidR="0079697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improved future</w:t>
      </w:r>
      <w:r w:rsidR="004321D1">
        <w:rPr>
          <w:rFonts w:ascii="Times New Roman" w:hAnsi="Times New Roman"/>
          <w:sz w:val="24"/>
          <w:szCs w:val="24"/>
          <w:shd w:val="clear" w:color="auto" w:fill="FFFFFF"/>
        </w:rPr>
        <w:t xml:space="preserve"> performance</w:t>
      </w:r>
      <w:r>
        <w:rPr>
          <w:rFonts w:ascii="Times New Roman" w:hAnsi="Times New Roman"/>
          <w:sz w:val="24"/>
          <w:szCs w:val="24"/>
          <w:shd w:val="clear" w:color="auto" w:fill="FFFFFF"/>
        </w:rPr>
        <w:t>.</w:t>
      </w:r>
    </w:p>
    <w:p w:rsidR="000043DE" w:rsidRDefault="00AC35D7">
      <w:pPr>
        <w:pStyle w:val="Body"/>
        <w:spacing w:after="200" w:line="480" w:lineRule="auto"/>
        <w:ind w:firstLine="72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Hence, it should consider the proposed $62 Billion acquisition by Bayer, as the time trends show no prospects of improved financial performance in the future. Bayer shows better prospects of increased performance, characterized by increased sales across Crop Science, Healthcare and Pharmaceuticals by 9%, 19%, and 12% respectively as shown in 2015 after the acquisition announcement.</w:t>
      </w:r>
      <w:r w:rsidR="00796978">
        <w:rPr>
          <w:rFonts w:ascii="Times New Roman" w:hAnsi="Times New Roman"/>
          <w:sz w:val="24"/>
          <w:szCs w:val="24"/>
          <w:shd w:val="clear" w:color="auto" w:fill="FFFFFF"/>
        </w:rPr>
        <w:t xml:space="preserve"> </w:t>
      </w:r>
    </w:p>
    <w:p w:rsidR="000043DE" w:rsidRDefault="00AC35D7">
      <w:pPr>
        <w:pStyle w:val="Body"/>
        <w:spacing w:after="0"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Limitations of Using the Financial Ratios</w:t>
      </w:r>
    </w:p>
    <w:p w:rsidR="000043DE" w:rsidRDefault="00AC35D7">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rPr>
        <w:t>First, the ratio analysis relies on the past financial performance of the organization and usually based on figures found in the financial statements (</w:t>
      </w:r>
      <w:proofErr w:type="spellStart"/>
      <w:r>
        <w:rPr>
          <w:rFonts w:ascii="Times New Roman" w:hAnsi="Times New Roman"/>
          <w:sz w:val="24"/>
          <w:szCs w:val="24"/>
          <w:shd w:val="clear" w:color="auto" w:fill="FFFFFF"/>
        </w:rPr>
        <w:t>Lesakova</w:t>
      </w:r>
      <w:proofErr w:type="spellEnd"/>
      <w:r>
        <w:rPr>
          <w:rFonts w:ascii="Times New Roman" w:hAnsi="Times New Roman"/>
          <w:sz w:val="24"/>
          <w:szCs w:val="24"/>
          <w:shd w:val="clear" w:color="auto" w:fill="FFFFFF"/>
        </w:rPr>
        <w:t>, 2007)</w:t>
      </w:r>
      <w:r>
        <w:rPr>
          <w:rFonts w:ascii="Times New Roman" w:hAnsi="Times New Roman"/>
          <w:sz w:val="24"/>
          <w:szCs w:val="24"/>
        </w:rPr>
        <w:t>. However, such reports are subject to various limitation and deficiencies, such as manipulation, diversity in different practices, approximations, and even falsification, unfortunately. Hence, in some instances, they may not form concrete evidence when making the investment decision.</w:t>
      </w:r>
      <w:r w:rsidR="00796978">
        <w:rPr>
          <w:rFonts w:ascii="Times New Roman" w:hAnsi="Times New Roman"/>
          <w:sz w:val="24"/>
          <w:szCs w:val="24"/>
        </w:rPr>
        <w:t xml:space="preserve"> </w:t>
      </w:r>
    </w:p>
    <w:p w:rsidR="000043DE" w:rsidRDefault="00AC35D7">
      <w:pPr>
        <w:pStyle w:val="Body"/>
        <w:spacing w:after="0" w:line="480" w:lineRule="auto"/>
        <w:ind w:firstLine="720"/>
        <w:rPr>
          <w:rFonts w:ascii="Times New Roman" w:hAnsi="Times New Roman"/>
          <w:sz w:val="24"/>
          <w:szCs w:val="24"/>
        </w:rPr>
      </w:pPr>
      <w:r>
        <w:rPr>
          <w:rFonts w:ascii="Times New Roman" w:hAnsi="Times New Roman"/>
          <w:sz w:val="24"/>
          <w:szCs w:val="24"/>
        </w:rPr>
        <w:t>Secondly, since accounting ratios are based on past data, uncertainties in the future such as inflation may render the financial ratio less useful, as the past data may not necessarily reflect the present value figures, more so when considering asset valuations, as they are not adjustable to match the future inflation index (</w:t>
      </w:r>
      <w:proofErr w:type="spellStart"/>
      <w:r>
        <w:rPr>
          <w:rFonts w:ascii="Times New Roman" w:hAnsi="Times New Roman"/>
          <w:sz w:val="24"/>
          <w:szCs w:val="24"/>
          <w:shd w:val="clear" w:color="auto" w:fill="FFFFFF"/>
        </w:rPr>
        <w:t>Lesakova</w:t>
      </w:r>
      <w:proofErr w:type="spellEnd"/>
      <w:r>
        <w:rPr>
          <w:rFonts w:ascii="Times New Roman" w:hAnsi="Times New Roman"/>
          <w:sz w:val="24"/>
          <w:szCs w:val="24"/>
          <w:shd w:val="clear" w:color="auto" w:fill="FFFFFF"/>
        </w:rPr>
        <w:t>, 2007)</w:t>
      </w:r>
      <w:r>
        <w:rPr>
          <w:rFonts w:ascii="Times New Roman" w:hAnsi="Times New Roman"/>
          <w:sz w:val="24"/>
          <w:szCs w:val="24"/>
        </w:rPr>
        <w:t>. Finally, accounting ratios do not factor in various factors that affect the financial performance of the firm, such as the diversity of the product, size of the firm, mode of operations, industry situation and general economic conditions; hence, they cannot be used to make a conclusive investment decision.</w:t>
      </w:r>
    </w:p>
    <w:p w:rsidR="0056607B" w:rsidRDefault="00AC35D7" w:rsidP="0056607B">
      <w:pPr>
        <w:pStyle w:val="Body"/>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Alternative Proposal Financing </w:t>
      </w:r>
    </w:p>
    <w:p w:rsidR="0056607B" w:rsidRPr="0056607B" w:rsidRDefault="00AC35D7" w:rsidP="0056607B">
      <w:pPr>
        <w:spacing w:line="360" w:lineRule="auto"/>
        <w:rPr>
          <w:b/>
        </w:rPr>
      </w:pPr>
      <w:r w:rsidRPr="003F317B">
        <w:rPr>
          <w:b/>
        </w:rPr>
        <w:t xml:space="preserve">The Extent to Which the Company Will Have </w:t>
      </w:r>
      <w:r>
        <w:rPr>
          <w:b/>
        </w:rPr>
        <w:t>t</w:t>
      </w:r>
      <w:r w:rsidRPr="003F317B">
        <w:rPr>
          <w:b/>
        </w:rPr>
        <w:t>o Take Additional Debt</w:t>
      </w:r>
    </w:p>
    <w:p w:rsidR="0056607B" w:rsidRPr="003F317B" w:rsidRDefault="00AC35D7" w:rsidP="0056607B">
      <w:pPr>
        <w:spacing w:line="480" w:lineRule="auto"/>
        <w:ind w:firstLine="720"/>
      </w:pPr>
      <w:r w:rsidRPr="003F317B">
        <w:t xml:space="preserve">Essentially, there are various ways that a firm can </w:t>
      </w:r>
      <w:r w:rsidRPr="00D72C56">
        <w:rPr>
          <w:noProof/>
        </w:rPr>
        <w:t>adopt</w:t>
      </w:r>
      <w:r w:rsidRPr="003F317B">
        <w:t xml:space="preserve"> to finance its investments. Two main approaches are often used, which include debt financing and equity financing. Equity financing entails the sale of company’s stocks in the form of shares, which can either be preferential or ordinary shares (</w:t>
      </w:r>
      <w:proofErr w:type="spellStart"/>
      <w:r w:rsidRPr="003F317B">
        <w:rPr>
          <w:shd w:val="clear" w:color="auto" w:fill="FFFFFF"/>
        </w:rPr>
        <w:t>Hovakimian</w:t>
      </w:r>
      <w:proofErr w:type="spellEnd"/>
      <w:r w:rsidRPr="003F317B">
        <w:rPr>
          <w:shd w:val="clear" w:color="auto" w:fill="FFFFFF"/>
        </w:rPr>
        <w:t xml:space="preserve">, </w:t>
      </w:r>
      <w:proofErr w:type="spellStart"/>
      <w:r w:rsidRPr="003F317B">
        <w:rPr>
          <w:shd w:val="clear" w:color="auto" w:fill="FFFFFF"/>
        </w:rPr>
        <w:t>Opler</w:t>
      </w:r>
      <w:proofErr w:type="spellEnd"/>
      <w:r w:rsidRPr="003F317B">
        <w:rPr>
          <w:shd w:val="clear" w:color="auto" w:fill="FFFFFF"/>
        </w:rPr>
        <w:t>, &amp; Titman, 2001)</w:t>
      </w:r>
      <w:r w:rsidRPr="003F317B">
        <w:t>. Th</w:t>
      </w:r>
      <w:r>
        <w:t>r</w:t>
      </w:r>
      <w:r w:rsidRPr="003F317B">
        <w:t xml:space="preserve">ough this </w:t>
      </w:r>
      <w:r w:rsidRPr="00D72C56">
        <w:rPr>
          <w:noProof/>
        </w:rPr>
        <w:t>approach</w:t>
      </w:r>
      <w:r>
        <w:rPr>
          <w:noProof/>
        </w:rPr>
        <w:t>,</w:t>
      </w:r>
      <w:r w:rsidRPr="003F317B">
        <w:t xml:space="preserve"> the company can easily solicit </w:t>
      </w:r>
      <w:r w:rsidRPr="00D72C56">
        <w:rPr>
          <w:noProof/>
        </w:rPr>
        <w:t>funds</w:t>
      </w:r>
      <w:r>
        <w:t xml:space="preserve"> f</w:t>
      </w:r>
      <w:r w:rsidRPr="003F317B">
        <w:t>r</w:t>
      </w:r>
      <w:r>
        <w:t>o</w:t>
      </w:r>
      <w:r w:rsidRPr="003F317B">
        <w:t>m the investors who purchase the s</w:t>
      </w:r>
      <w:r>
        <w:t>tock</w:t>
      </w:r>
      <w:r w:rsidRPr="003F317B">
        <w:t xml:space="preserve">. On </w:t>
      </w:r>
      <w:r>
        <w:t xml:space="preserve">the </w:t>
      </w:r>
      <w:r w:rsidRPr="00D72C56">
        <w:rPr>
          <w:noProof/>
        </w:rPr>
        <w:t>neg</w:t>
      </w:r>
      <w:r>
        <w:rPr>
          <w:noProof/>
        </w:rPr>
        <w:t>ati</w:t>
      </w:r>
      <w:r w:rsidRPr="00D72C56">
        <w:rPr>
          <w:noProof/>
        </w:rPr>
        <w:t>ve</w:t>
      </w:r>
      <w:r>
        <w:t xml:space="preserve"> end</w:t>
      </w:r>
      <w:r w:rsidRPr="003F317B">
        <w:t xml:space="preserve">, the company also gets to lose </w:t>
      </w:r>
      <w:r w:rsidRPr="00D72C56">
        <w:rPr>
          <w:noProof/>
        </w:rPr>
        <w:t>significant</w:t>
      </w:r>
      <w:r w:rsidRPr="003F317B">
        <w:t xml:space="preserve"> control over the operations of the organization</w:t>
      </w:r>
      <w:r>
        <w:t xml:space="preserve"> management </w:t>
      </w:r>
      <w:r w:rsidRPr="003F317B">
        <w:t>operations.</w:t>
      </w:r>
    </w:p>
    <w:p w:rsidR="0056607B" w:rsidRPr="003F317B" w:rsidRDefault="00AC35D7" w:rsidP="0056607B">
      <w:pPr>
        <w:spacing w:line="480" w:lineRule="auto"/>
        <w:ind w:firstLine="720"/>
      </w:pPr>
      <w:r w:rsidRPr="003F317B">
        <w:t xml:space="preserve">On the other hand, a firm may as well choose to use debt financing, which entails securing </w:t>
      </w:r>
      <w:r>
        <w:t xml:space="preserve">a </w:t>
      </w:r>
      <w:r w:rsidRPr="00D72C56">
        <w:rPr>
          <w:noProof/>
        </w:rPr>
        <w:t>long-term</w:t>
      </w:r>
      <w:r w:rsidRPr="003F317B">
        <w:t xml:space="preserve"> loan from a financial institution, as well as the use of commercial bonds (</w:t>
      </w:r>
      <w:proofErr w:type="spellStart"/>
      <w:r w:rsidRPr="003F317B">
        <w:rPr>
          <w:shd w:val="clear" w:color="auto" w:fill="FFFFFF"/>
        </w:rPr>
        <w:t>Hovakimian</w:t>
      </w:r>
      <w:proofErr w:type="spellEnd"/>
      <w:r w:rsidRPr="003F317B">
        <w:rPr>
          <w:shd w:val="clear" w:color="auto" w:fill="FFFFFF"/>
        </w:rPr>
        <w:t xml:space="preserve"> et al., 2011)</w:t>
      </w:r>
      <w:r w:rsidRPr="003F317B">
        <w:t>. In the presented case, the Monsanto management wishes to retain the existing dividend</w:t>
      </w:r>
      <w:r>
        <w:t>s</w:t>
      </w:r>
      <w:r w:rsidRPr="003F317B">
        <w:t xml:space="preserve"> ratio and hence is not willing to sell any of its stocks. Hence, the company has only one option; utilizing debt financing to fund the new investment. </w:t>
      </w:r>
    </w:p>
    <w:tbl>
      <w:tblPr>
        <w:tblW w:w="6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900"/>
      </w:tblGrid>
      <w:tr w:rsidR="00F34EBC" w:rsidTr="00FF658D">
        <w:trPr>
          <w:trHeight w:val="315"/>
          <w:jc w:val="center"/>
        </w:trPr>
        <w:tc>
          <w:tcPr>
            <w:tcW w:w="4315" w:type="dxa"/>
            <w:shd w:val="clear" w:color="auto" w:fill="auto"/>
            <w:noWrap/>
            <w:vAlign w:val="bottom"/>
          </w:tcPr>
          <w:p w:rsidR="0056607B" w:rsidRPr="003F317B" w:rsidRDefault="00AC35D7" w:rsidP="00DA2F0A">
            <w:pPr>
              <w:spacing w:line="480" w:lineRule="auto"/>
              <w:rPr>
                <w:rFonts w:eastAsia="Times New Roman"/>
                <w:b/>
              </w:rPr>
            </w:pPr>
            <w:r w:rsidRPr="003F317B">
              <w:rPr>
                <w:rFonts w:eastAsia="Times New Roman"/>
                <w:b/>
              </w:rPr>
              <w:t>Entry</w:t>
            </w:r>
          </w:p>
        </w:tc>
        <w:tc>
          <w:tcPr>
            <w:tcW w:w="1900" w:type="dxa"/>
            <w:shd w:val="clear" w:color="auto" w:fill="auto"/>
            <w:noWrap/>
            <w:vAlign w:val="bottom"/>
          </w:tcPr>
          <w:p w:rsidR="0056607B" w:rsidRPr="003F317B" w:rsidRDefault="00AC35D7" w:rsidP="00DA2F0A">
            <w:pPr>
              <w:spacing w:line="480" w:lineRule="auto"/>
              <w:jc w:val="right"/>
              <w:rPr>
                <w:rFonts w:eastAsia="Times New Roman"/>
                <w:b/>
              </w:rPr>
            </w:pPr>
            <w:r w:rsidRPr="003F317B">
              <w:rPr>
                <w:rFonts w:eastAsia="Times New Roman"/>
                <w:b/>
              </w:rPr>
              <w:t>Amount</w:t>
            </w:r>
            <w:r>
              <w:rPr>
                <w:rFonts w:eastAsia="Times New Roman"/>
                <w:b/>
              </w:rPr>
              <w:t xml:space="preserve"> ($)</w:t>
            </w:r>
          </w:p>
        </w:tc>
      </w:tr>
      <w:tr w:rsidR="00F34EBC" w:rsidTr="00FF658D">
        <w:trPr>
          <w:trHeight w:val="315"/>
          <w:jc w:val="center"/>
        </w:trPr>
        <w:tc>
          <w:tcPr>
            <w:tcW w:w="4315" w:type="dxa"/>
            <w:shd w:val="clear" w:color="auto" w:fill="auto"/>
            <w:noWrap/>
            <w:vAlign w:val="bottom"/>
            <w:hideMark/>
          </w:tcPr>
          <w:p w:rsidR="0056607B" w:rsidRPr="003F317B" w:rsidRDefault="00AC35D7" w:rsidP="00DA2F0A">
            <w:pPr>
              <w:spacing w:line="480" w:lineRule="auto"/>
              <w:rPr>
                <w:rFonts w:eastAsia="Times New Roman"/>
              </w:rPr>
            </w:pPr>
            <w:r>
              <w:rPr>
                <w:rFonts w:eastAsia="Times New Roman"/>
              </w:rPr>
              <w:t>Projected s</w:t>
            </w:r>
            <w:r w:rsidRPr="003F317B">
              <w:rPr>
                <w:rFonts w:eastAsia="Times New Roman"/>
              </w:rPr>
              <w:t>ales increase</w:t>
            </w:r>
          </w:p>
        </w:tc>
        <w:tc>
          <w:tcPr>
            <w:tcW w:w="1900" w:type="dxa"/>
            <w:shd w:val="clear" w:color="auto" w:fill="auto"/>
            <w:noWrap/>
            <w:vAlign w:val="bottom"/>
            <w:hideMark/>
          </w:tcPr>
          <w:p w:rsidR="0056607B" w:rsidRPr="003F317B" w:rsidRDefault="00AC35D7" w:rsidP="00DA2F0A">
            <w:pPr>
              <w:spacing w:line="480" w:lineRule="auto"/>
              <w:jc w:val="right"/>
              <w:rPr>
                <w:rFonts w:eastAsia="Times New Roman"/>
              </w:rPr>
            </w:pPr>
            <w:r w:rsidRPr="003F317B">
              <w:rPr>
                <w:rFonts w:eastAsia="Times New Roman"/>
              </w:rPr>
              <w:t>3,950,000</w:t>
            </w:r>
          </w:p>
        </w:tc>
      </w:tr>
      <w:tr w:rsidR="00F34EBC" w:rsidTr="00FF658D">
        <w:trPr>
          <w:trHeight w:val="300"/>
          <w:jc w:val="center"/>
        </w:trPr>
        <w:tc>
          <w:tcPr>
            <w:tcW w:w="4315" w:type="dxa"/>
            <w:shd w:val="clear" w:color="auto" w:fill="auto"/>
            <w:noWrap/>
            <w:vAlign w:val="bottom"/>
            <w:hideMark/>
          </w:tcPr>
          <w:p w:rsidR="0056607B" w:rsidRPr="003F317B" w:rsidRDefault="00AC35D7" w:rsidP="00DA2F0A">
            <w:pPr>
              <w:spacing w:line="480" w:lineRule="auto"/>
              <w:rPr>
                <w:rFonts w:eastAsia="Times New Roman"/>
              </w:rPr>
            </w:pPr>
            <w:r>
              <w:rPr>
                <w:rFonts w:eastAsia="Times New Roman"/>
              </w:rPr>
              <w:t xml:space="preserve">Taxable income </w:t>
            </w:r>
          </w:p>
        </w:tc>
        <w:tc>
          <w:tcPr>
            <w:tcW w:w="1900" w:type="dxa"/>
            <w:shd w:val="clear" w:color="auto" w:fill="auto"/>
            <w:noWrap/>
            <w:vAlign w:val="bottom"/>
            <w:hideMark/>
          </w:tcPr>
          <w:p w:rsidR="0056607B" w:rsidRPr="003F317B" w:rsidRDefault="00AC35D7" w:rsidP="00DA2F0A">
            <w:pPr>
              <w:spacing w:line="480" w:lineRule="auto"/>
              <w:jc w:val="right"/>
              <w:rPr>
                <w:rFonts w:eastAsia="Times New Roman"/>
              </w:rPr>
            </w:pPr>
            <w:r w:rsidRPr="0056607B">
              <w:rPr>
                <w:rFonts w:eastAsia="Times New Roman"/>
              </w:rPr>
              <w:t>3,160,000</w:t>
            </w:r>
          </w:p>
        </w:tc>
      </w:tr>
      <w:tr w:rsidR="00F34EBC" w:rsidTr="00FF658D">
        <w:trPr>
          <w:trHeight w:val="300"/>
          <w:jc w:val="center"/>
        </w:trPr>
        <w:tc>
          <w:tcPr>
            <w:tcW w:w="4315" w:type="dxa"/>
            <w:shd w:val="clear" w:color="auto" w:fill="auto"/>
            <w:noWrap/>
            <w:vAlign w:val="bottom"/>
            <w:hideMark/>
          </w:tcPr>
          <w:p w:rsidR="0056607B" w:rsidRPr="003F317B" w:rsidRDefault="00AC35D7" w:rsidP="00DA2F0A">
            <w:pPr>
              <w:spacing w:line="480" w:lineRule="auto"/>
              <w:rPr>
                <w:rFonts w:eastAsia="Times New Roman"/>
              </w:rPr>
            </w:pPr>
            <w:r w:rsidRPr="0056607B">
              <w:rPr>
                <w:rFonts w:eastAsia="Times New Roman"/>
              </w:rPr>
              <w:t>Taxes (35%)</w:t>
            </w:r>
          </w:p>
        </w:tc>
        <w:tc>
          <w:tcPr>
            <w:tcW w:w="1900" w:type="dxa"/>
            <w:shd w:val="clear" w:color="auto" w:fill="auto"/>
            <w:noWrap/>
            <w:vAlign w:val="bottom"/>
            <w:hideMark/>
          </w:tcPr>
          <w:p w:rsidR="0056607B" w:rsidRPr="003F317B" w:rsidRDefault="00AC35D7" w:rsidP="0056607B">
            <w:pPr>
              <w:spacing w:line="480" w:lineRule="auto"/>
              <w:jc w:val="right"/>
              <w:rPr>
                <w:rFonts w:eastAsia="Times New Roman"/>
              </w:rPr>
            </w:pPr>
            <w:r w:rsidRPr="0056607B">
              <w:rPr>
                <w:rFonts w:eastAsia="Times New Roman"/>
              </w:rPr>
              <w:t>1,106,000</w:t>
            </w:r>
          </w:p>
        </w:tc>
      </w:tr>
      <w:tr w:rsidR="00F34EBC" w:rsidTr="00FF658D">
        <w:trPr>
          <w:trHeight w:val="300"/>
          <w:jc w:val="center"/>
        </w:trPr>
        <w:tc>
          <w:tcPr>
            <w:tcW w:w="4315" w:type="dxa"/>
            <w:shd w:val="clear" w:color="auto" w:fill="auto"/>
            <w:noWrap/>
            <w:vAlign w:val="bottom"/>
            <w:hideMark/>
          </w:tcPr>
          <w:p w:rsidR="0056607B" w:rsidRPr="003F317B" w:rsidRDefault="00AC35D7" w:rsidP="00DA2F0A">
            <w:pPr>
              <w:spacing w:line="480" w:lineRule="auto"/>
              <w:rPr>
                <w:rFonts w:eastAsia="Times New Roman"/>
              </w:rPr>
            </w:pPr>
            <w:r w:rsidRPr="0056607B">
              <w:rPr>
                <w:rFonts w:eastAsia="Times New Roman"/>
              </w:rPr>
              <w:t>Net Income</w:t>
            </w:r>
          </w:p>
        </w:tc>
        <w:tc>
          <w:tcPr>
            <w:tcW w:w="1900" w:type="dxa"/>
            <w:shd w:val="clear" w:color="auto" w:fill="auto"/>
            <w:noWrap/>
            <w:vAlign w:val="bottom"/>
            <w:hideMark/>
          </w:tcPr>
          <w:p w:rsidR="0056607B" w:rsidRPr="003F317B" w:rsidRDefault="00AC35D7" w:rsidP="0056607B">
            <w:pPr>
              <w:spacing w:line="480" w:lineRule="auto"/>
              <w:jc w:val="right"/>
              <w:rPr>
                <w:rFonts w:eastAsia="Times New Roman"/>
              </w:rPr>
            </w:pPr>
            <w:r w:rsidRPr="0056607B">
              <w:rPr>
                <w:rFonts w:eastAsia="Times New Roman"/>
              </w:rPr>
              <w:t>2,054,000</w:t>
            </w:r>
          </w:p>
        </w:tc>
      </w:tr>
      <w:tr w:rsidR="00F34EBC" w:rsidTr="00FF658D">
        <w:trPr>
          <w:trHeight w:val="315"/>
          <w:jc w:val="center"/>
        </w:trPr>
        <w:tc>
          <w:tcPr>
            <w:tcW w:w="4315" w:type="dxa"/>
            <w:shd w:val="clear" w:color="auto" w:fill="auto"/>
            <w:noWrap/>
            <w:vAlign w:val="bottom"/>
            <w:hideMark/>
          </w:tcPr>
          <w:p w:rsidR="0056607B" w:rsidRPr="003F317B" w:rsidRDefault="00AC35D7" w:rsidP="00DA2F0A">
            <w:pPr>
              <w:spacing w:line="480" w:lineRule="auto"/>
              <w:rPr>
                <w:rFonts w:eastAsia="Times New Roman"/>
              </w:rPr>
            </w:pPr>
            <w:r w:rsidRPr="0056607B">
              <w:rPr>
                <w:rFonts w:eastAsia="Times New Roman"/>
              </w:rPr>
              <w:t>Dividends</w:t>
            </w:r>
          </w:p>
        </w:tc>
        <w:tc>
          <w:tcPr>
            <w:tcW w:w="1900" w:type="dxa"/>
            <w:shd w:val="clear" w:color="auto" w:fill="auto"/>
            <w:noWrap/>
            <w:vAlign w:val="bottom"/>
            <w:hideMark/>
          </w:tcPr>
          <w:p w:rsidR="0056607B" w:rsidRPr="003F317B" w:rsidRDefault="00AC35D7" w:rsidP="00DA2F0A">
            <w:pPr>
              <w:spacing w:line="480" w:lineRule="auto"/>
              <w:jc w:val="right"/>
              <w:rPr>
                <w:rFonts w:eastAsia="Times New Roman"/>
              </w:rPr>
            </w:pPr>
            <w:r w:rsidRPr="0056607B">
              <w:rPr>
                <w:rFonts w:eastAsia="Times New Roman"/>
              </w:rPr>
              <w:t>62,568</w:t>
            </w:r>
          </w:p>
        </w:tc>
      </w:tr>
      <w:tr w:rsidR="00F34EBC" w:rsidTr="00FF658D">
        <w:trPr>
          <w:trHeight w:val="300"/>
          <w:jc w:val="center"/>
        </w:trPr>
        <w:tc>
          <w:tcPr>
            <w:tcW w:w="4315" w:type="dxa"/>
            <w:shd w:val="clear" w:color="auto" w:fill="auto"/>
            <w:noWrap/>
            <w:vAlign w:val="bottom"/>
            <w:hideMark/>
          </w:tcPr>
          <w:p w:rsidR="0056607B" w:rsidRPr="003F317B" w:rsidRDefault="00AC35D7" w:rsidP="00DA2F0A">
            <w:pPr>
              <w:spacing w:line="480" w:lineRule="auto"/>
              <w:rPr>
                <w:rFonts w:eastAsia="Times New Roman"/>
              </w:rPr>
            </w:pPr>
            <w:r w:rsidRPr="0056607B">
              <w:rPr>
                <w:rFonts w:eastAsia="Times New Roman"/>
              </w:rPr>
              <w:t>Addition to Retained Earnings</w:t>
            </w:r>
          </w:p>
        </w:tc>
        <w:tc>
          <w:tcPr>
            <w:tcW w:w="1900" w:type="dxa"/>
            <w:shd w:val="clear" w:color="auto" w:fill="auto"/>
            <w:noWrap/>
            <w:vAlign w:val="bottom"/>
            <w:hideMark/>
          </w:tcPr>
          <w:p w:rsidR="0056607B" w:rsidRPr="003F317B" w:rsidRDefault="00AC35D7" w:rsidP="00DA2F0A">
            <w:pPr>
              <w:spacing w:line="480" w:lineRule="auto"/>
              <w:jc w:val="right"/>
              <w:rPr>
                <w:rFonts w:eastAsia="Times New Roman"/>
              </w:rPr>
            </w:pPr>
            <w:r w:rsidRPr="003F317B">
              <w:rPr>
                <w:rFonts w:eastAsia="Times New Roman"/>
              </w:rPr>
              <w:t>3</w:t>
            </w:r>
            <w:r>
              <w:rPr>
                <w:rFonts w:eastAsia="Times New Roman"/>
              </w:rPr>
              <w:t>,</w:t>
            </w:r>
            <w:r w:rsidRPr="003F317B">
              <w:rPr>
                <w:rFonts w:eastAsia="Times New Roman"/>
              </w:rPr>
              <w:t>950</w:t>
            </w:r>
            <w:r>
              <w:rPr>
                <w:rFonts w:eastAsia="Times New Roman"/>
              </w:rPr>
              <w:t>,</w:t>
            </w:r>
            <w:r w:rsidRPr="003F317B">
              <w:rPr>
                <w:rFonts w:eastAsia="Times New Roman"/>
              </w:rPr>
              <w:t xml:space="preserve">000 </w:t>
            </w:r>
          </w:p>
        </w:tc>
      </w:tr>
      <w:tr w:rsidR="00F34EBC" w:rsidTr="00FF658D">
        <w:trPr>
          <w:trHeight w:val="300"/>
          <w:jc w:val="center"/>
        </w:trPr>
        <w:tc>
          <w:tcPr>
            <w:tcW w:w="4315" w:type="dxa"/>
            <w:shd w:val="clear" w:color="auto" w:fill="auto"/>
            <w:noWrap/>
            <w:vAlign w:val="bottom"/>
            <w:hideMark/>
          </w:tcPr>
          <w:p w:rsidR="0056607B" w:rsidRPr="003F317B" w:rsidRDefault="00AC35D7" w:rsidP="00DA2F0A">
            <w:pPr>
              <w:spacing w:line="480" w:lineRule="auto"/>
              <w:rPr>
                <w:rFonts w:eastAsia="Times New Roman"/>
              </w:rPr>
            </w:pPr>
            <w:r w:rsidRPr="003F317B">
              <w:rPr>
                <w:rFonts w:eastAsia="Times New Roman"/>
              </w:rPr>
              <w:t>Cost of sales</w:t>
            </w:r>
          </w:p>
        </w:tc>
        <w:tc>
          <w:tcPr>
            <w:tcW w:w="1900" w:type="dxa"/>
            <w:shd w:val="clear" w:color="auto" w:fill="auto"/>
            <w:noWrap/>
            <w:vAlign w:val="bottom"/>
            <w:hideMark/>
          </w:tcPr>
          <w:p w:rsidR="0056607B" w:rsidRPr="003F317B" w:rsidRDefault="00AC35D7" w:rsidP="00DA2F0A">
            <w:pPr>
              <w:spacing w:line="480" w:lineRule="auto"/>
              <w:jc w:val="right"/>
              <w:rPr>
                <w:rFonts w:eastAsia="Times New Roman"/>
              </w:rPr>
            </w:pPr>
            <w:r w:rsidRPr="0056607B">
              <w:rPr>
                <w:rFonts w:eastAsia="Times New Roman"/>
              </w:rPr>
              <w:t>1,991,432</w:t>
            </w:r>
          </w:p>
        </w:tc>
      </w:tr>
      <w:tr w:rsidR="00F34EBC" w:rsidTr="00FF658D">
        <w:trPr>
          <w:trHeight w:val="300"/>
          <w:jc w:val="center"/>
        </w:trPr>
        <w:tc>
          <w:tcPr>
            <w:tcW w:w="4315" w:type="dxa"/>
            <w:shd w:val="clear" w:color="auto" w:fill="auto"/>
            <w:noWrap/>
            <w:vAlign w:val="bottom"/>
          </w:tcPr>
          <w:p w:rsidR="0056607B" w:rsidRPr="003F317B" w:rsidRDefault="00AC35D7" w:rsidP="00DA2F0A">
            <w:pPr>
              <w:spacing w:line="480" w:lineRule="auto"/>
              <w:rPr>
                <w:rFonts w:eastAsia="Times New Roman"/>
              </w:rPr>
            </w:pPr>
            <w:r w:rsidRPr="003F317B">
              <w:t>External Financing Needed (EFN).</w:t>
            </w:r>
          </w:p>
        </w:tc>
        <w:tc>
          <w:tcPr>
            <w:tcW w:w="1900" w:type="dxa"/>
            <w:shd w:val="clear" w:color="auto" w:fill="auto"/>
            <w:noWrap/>
            <w:vAlign w:val="bottom"/>
          </w:tcPr>
          <w:p w:rsidR="0056607B" w:rsidRPr="0056607B" w:rsidRDefault="00AC35D7" w:rsidP="00DA2F0A">
            <w:pPr>
              <w:spacing w:line="480" w:lineRule="auto"/>
              <w:jc w:val="right"/>
              <w:rPr>
                <w:rFonts w:eastAsia="Times New Roman"/>
              </w:rPr>
            </w:pPr>
            <w:r w:rsidRPr="0056607B">
              <w:rPr>
                <w:rFonts w:eastAsia="Times New Roman"/>
              </w:rPr>
              <w:t>773,568</w:t>
            </w:r>
          </w:p>
        </w:tc>
      </w:tr>
    </w:tbl>
    <w:p w:rsidR="0056607B" w:rsidRPr="003F317B" w:rsidRDefault="0056607B" w:rsidP="0056607B">
      <w:pPr>
        <w:spacing w:line="360" w:lineRule="auto"/>
      </w:pPr>
    </w:p>
    <w:p w:rsidR="0056607B" w:rsidRPr="003F317B" w:rsidRDefault="00AC35D7" w:rsidP="0056607B">
      <w:pPr>
        <w:spacing w:line="480" w:lineRule="auto"/>
        <w:ind w:firstLine="720"/>
      </w:pPr>
      <w:r w:rsidRPr="003F317B">
        <w:lastRenderedPageBreak/>
        <w:t xml:space="preserve">Based on the calculation, it is clear that Monsanto will need </w:t>
      </w:r>
      <w:r w:rsidRPr="00D72C56">
        <w:rPr>
          <w:noProof/>
        </w:rPr>
        <w:t>debt</w:t>
      </w:r>
      <w:r w:rsidRPr="003F317B">
        <w:t xml:space="preserve"> finance amounting to $</w:t>
      </w:r>
      <w:r w:rsidRPr="0056607B">
        <w:t>773,568</w:t>
      </w:r>
      <w:r>
        <w:t xml:space="preserve"> </w:t>
      </w:r>
      <w:r w:rsidRPr="003F317B">
        <w:t>for it to be able to finance the alternative project</w:t>
      </w:r>
    </w:p>
    <w:p w:rsidR="0056607B" w:rsidRPr="003F317B" w:rsidRDefault="00AC35D7" w:rsidP="0056607B">
      <w:pPr>
        <w:spacing w:line="480" w:lineRule="auto"/>
        <w:jc w:val="center"/>
        <w:rPr>
          <w:b/>
        </w:rPr>
      </w:pPr>
      <w:r w:rsidRPr="003F317B">
        <w:rPr>
          <w:b/>
        </w:rPr>
        <w:t>Sustainable growth and Internal Growth Rate</w:t>
      </w:r>
    </w:p>
    <w:p w:rsidR="0056607B" w:rsidRPr="003F317B" w:rsidRDefault="00AC35D7" w:rsidP="0056607B">
      <w:pPr>
        <w:spacing w:line="480" w:lineRule="auto"/>
        <w:ind w:firstLine="720"/>
      </w:pPr>
      <w:r w:rsidRPr="003F317B">
        <w:t xml:space="preserve"> Analytically, the sustainable growth rate is the highest possible rate that a firm can maintain without looking for additional funds </w:t>
      </w:r>
      <w:r w:rsidRPr="00D72C56">
        <w:rPr>
          <w:noProof/>
        </w:rPr>
        <w:t>through either debt or equity</w:t>
      </w:r>
      <w:r w:rsidRPr="003F317B">
        <w:t xml:space="preserve"> to fi</w:t>
      </w:r>
      <w:r>
        <w:t>n</w:t>
      </w:r>
      <w:r w:rsidRPr="003F317B">
        <w:t>a</w:t>
      </w:r>
      <w:r>
        <w:t>nce</w:t>
      </w:r>
      <w:r w:rsidRPr="003F317B">
        <w:t xml:space="preserve"> the operations and </w:t>
      </w:r>
      <w:r>
        <w:t>ensure</w:t>
      </w:r>
      <w:r w:rsidRPr="003F317B">
        <w:t xml:space="preserve"> compliance with the organizational policy (</w:t>
      </w:r>
      <w:proofErr w:type="spellStart"/>
      <w:r w:rsidRPr="003F317B">
        <w:rPr>
          <w:shd w:val="clear" w:color="auto" w:fill="FFFFFF"/>
        </w:rPr>
        <w:t>Amouzesh</w:t>
      </w:r>
      <w:proofErr w:type="spellEnd"/>
      <w:r w:rsidRPr="003F317B">
        <w:rPr>
          <w:shd w:val="clear" w:color="auto" w:fill="FFFFFF"/>
        </w:rPr>
        <w:t xml:space="preserve">, </w:t>
      </w:r>
      <w:proofErr w:type="spellStart"/>
      <w:r w:rsidRPr="003F317B">
        <w:rPr>
          <w:shd w:val="clear" w:color="auto" w:fill="FFFFFF"/>
        </w:rPr>
        <w:t>Moeinfar</w:t>
      </w:r>
      <w:proofErr w:type="spellEnd"/>
      <w:r w:rsidRPr="003F317B">
        <w:rPr>
          <w:shd w:val="clear" w:color="auto" w:fill="FFFFFF"/>
        </w:rPr>
        <w:t xml:space="preserve">, &amp; </w:t>
      </w:r>
      <w:proofErr w:type="spellStart"/>
      <w:r w:rsidRPr="003F317B">
        <w:rPr>
          <w:shd w:val="clear" w:color="auto" w:fill="FFFFFF"/>
        </w:rPr>
        <w:t>Mousav</w:t>
      </w:r>
      <w:proofErr w:type="spellEnd"/>
      <w:r w:rsidRPr="003F317B">
        <w:rPr>
          <w:shd w:val="clear" w:color="auto" w:fill="FFFFFF"/>
        </w:rPr>
        <w:t>, 2011)</w:t>
      </w:r>
      <w:r w:rsidRPr="003F317B">
        <w:t xml:space="preserve">. As such, the main goal of the sustainable growth rate is to maximize the sales revenues and the profit margins without compromising the firm’s financial leverage. This is </w:t>
      </w:r>
      <w:r w:rsidRPr="00D72C56">
        <w:rPr>
          <w:noProof/>
        </w:rPr>
        <w:t>because</w:t>
      </w:r>
      <w:r>
        <w:rPr>
          <w:noProof/>
        </w:rPr>
        <w:t xml:space="preserve"> of</w:t>
      </w:r>
      <w:r w:rsidRPr="003F317B">
        <w:t xml:space="preserve"> the higher the debt to equity ratio, the higher the financial leverage and the higher the financial risk facing a firm. As such, the sustainable growth </w:t>
      </w:r>
      <w:r>
        <w:rPr>
          <w:noProof/>
        </w:rPr>
        <w:t>ra</w:t>
      </w:r>
      <w:r w:rsidRPr="00D72C56">
        <w:rPr>
          <w:noProof/>
        </w:rPr>
        <w:t>te</w:t>
      </w:r>
      <w:r w:rsidRPr="003F317B">
        <w:t xml:space="preserve"> maximizes the shareholders’ interests as it depicts how fast a firm can grow without looking for additional funds (</w:t>
      </w:r>
      <w:r w:rsidRPr="003F317B">
        <w:rPr>
          <w:shd w:val="clear" w:color="auto" w:fill="FFFFFF"/>
        </w:rPr>
        <w:t>David, Arthur, &amp; Michael, 2004)</w:t>
      </w:r>
      <w:r w:rsidRPr="003F317B">
        <w:t xml:space="preserve">. A higher growth </w:t>
      </w:r>
      <w:r>
        <w:rPr>
          <w:noProof/>
        </w:rPr>
        <w:t>ra</w:t>
      </w:r>
      <w:r w:rsidRPr="00D72C56">
        <w:rPr>
          <w:noProof/>
        </w:rPr>
        <w:t>te</w:t>
      </w:r>
      <w:r w:rsidRPr="003F317B">
        <w:t xml:space="preserve"> indicates high financial resilience in case of a financial turmoil, as well as </w:t>
      </w:r>
      <w:r w:rsidRPr="00D72C56">
        <w:rPr>
          <w:noProof/>
        </w:rPr>
        <w:t>sound</w:t>
      </w:r>
      <w:r w:rsidRPr="003F317B">
        <w:t xml:space="preserve"> asset management.</w:t>
      </w:r>
    </w:p>
    <w:p w:rsidR="0056607B" w:rsidRDefault="00AC35D7" w:rsidP="0056607B">
      <w:pPr>
        <w:spacing w:line="480" w:lineRule="auto"/>
      </w:pPr>
      <w:r w:rsidRPr="003F317B">
        <w:t xml:space="preserve"> The sustainable growth rate is given by:</w:t>
      </w:r>
    </w:p>
    <w:p w:rsidR="00DA2F0A" w:rsidRDefault="00AC35D7" w:rsidP="00A7478F">
      <w:pPr>
        <w:spacing w:line="480" w:lineRule="auto"/>
        <w:ind w:left="720"/>
      </w:pPr>
      <w:r w:rsidRPr="00DA2F0A">
        <w:t xml:space="preserve">Sustainable Growth Rate = </w:t>
      </w:r>
      <w:r w:rsidR="00A7478F" w:rsidRPr="00A7478F">
        <w:t>Return on equity x (1 – Dividend payout ratio)</w:t>
      </w:r>
    </w:p>
    <w:p w:rsidR="0056607B" w:rsidRDefault="00AC35D7" w:rsidP="00DA2F0A">
      <w:pPr>
        <w:spacing w:line="480" w:lineRule="auto"/>
        <w:ind w:left="720"/>
      </w:pPr>
      <w:r>
        <w:t xml:space="preserve">Therefore, </w:t>
      </w:r>
      <w:r w:rsidRPr="00DA2F0A">
        <w:t>Sustainable Growth Rate</w:t>
      </w:r>
      <w:r>
        <w:t xml:space="preserve"> = </w:t>
      </w:r>
      <w:r w:rsidRPr="00DA2F0A">
        <w:t>(0.1967*0.9802)</w:t>
      </w:r>
      <w:proofErr w:type="gramStart"/>
      <w:r w:rsidRPr="00DA2F0A">
        <w:t>/(</w:t>
      </w:r>
      <w:proofErr w:type="gramEnd"/>
      <w:r w:rsidRPr="00DA2F0A">
        <w:t>1-0.1967*0.9802)</w:t>
      </w:r>
    </w:p>
    <w:p w:rsidR="00DA2F0A" w:rsidRPr="003F317B" w:rsidRDefault="00AC35D7" w:rsidP="00DA2F0A">
      <w:pPr>
        <w:spacing w:line="480" w:lineRule="auto"/>
        <w:ind w:left="720"/>
      </w:pPr>
      <w:r>
        <w:t>=</w:t>
      </w:r>
      <w:r w:rsidRPr="00DA2F0A">
        <w:t xml:space="preserve"> 23.88%</w:t>
      </w:r>
    </w:p>
    <w:p w:rsidR="0056607B" w:rsidRPr="003F317B" w:rsidRDefault="00AC35D7" w:rsidP="0056607B">
      <w:pPr>
        <w:spacing w:line="480" w:lineRule="auto"/>
        <w:ind w:firstLine="720"/>
      </w:pPr>
      <w:r w:rsidRPr="003F317B">
        <w:t xml:space="preserve"> </w:t>
      </w:r>
      <w:r w:rsidR="00DA2F0A" w:rsidRPr="00DA2F0A">
        <w:t>23.88%</w:t>
      </w:r>
      <w:r w:rsidR="00DA2F0A">
        <w:t xml:space="preserve"> </w:t>
      </w:r>
      <w:r w:rsidR="00DA2F0A" w:rsidRPr="00DA2F0A">
        <w:t xml:space="preserve">is relatively </w:t>
      </w:r>
      <w:r w:rsidR="00DA2F0A">
        <w:t>high</w:t>
      </w:r>
      <w:r w:rsidR="00DA2F0A" w:rsidRPr="00DA2F0A">
        <w:t xml:space="preserve"> a</w:t>
      </w:r>
      <w:r w:rsidR="00DA2F0A">
        <w:t>nd indicates that the firm can comfortably</w:t>
      </w:r>
      <w:r w:rsidR="00DA2F0A" w:rsidRPr="00DA2F0A">
        <w:t xml:space="preserve"> sustain such a growth rate.</w:t>
      </w:r>
      <w:r w:rsidR="00A7478F">
        <w:t xml:space="preserve"> This indicates a high potential in the company’s operations.</w:t>
      </w:r>
      <w:r w:rsidR="00DA2F0A" w:rsidRPr="00DA2F0A">
        <w:t xml:space="preserve"> </w:t>
      </w:r>
      <w:r w:rsidR="00DA2F0A">
        <w:t>However</w:t>
      </w:r>
      <w:r w:rsidR="00DA2F0A" w:rsidRPr="00DA2F0A">
        <w:t>, for the firm to surpass and increase the growth rate, it will need more investment, through either debt or equity</w:t>
      </w:r>
      <w:r w:rsidR="00DA2F0A">
        <w:t xml:space="preserve">. </w:t>
      </w:r>
      <w:r w:rsidRPr="003F317B">
        <w:t xml:space="preserve">On a different note, the Internal Growth Rate focuses on the maximum growth rate that can be attained by a firm without securing finances </w:t>
      </w:r>
      <w:r w:rsidRPr="00D72C56">
        <w:rPr>
          <w:noProof/>
        </w:rPr>
        <w:t>f</w:t>
      </w:r>
      <w:r>
        <w:rPr>
          <w:noProof/>
        </w:rPr>
        <w:t>ro</w:t>
      </w:r>
      <w:r w:rsidRPr="00D72C56">
        <w:rPr>
          <w:noProof/>
        </w:rPr>
        <w:t>m</w:t>
      </w:r>
      <w:r w:rsidRPr="003F317B">
        <w:t xml:space="preserve"> external sources. </w:t>
      </w:r>
      <w:r w:rsidRPr="00D72C56">
        <w:rPr>
          <w:noProof/>
        </w:rPr>
        <w:t>A</w:t>
      </w:r>
      <w:r>
        <w:rPr>
          <w:noProof/>
        </w:rPr>
        <w:t>s</w:t>
      </w:r>
      <w:r w:rsidRPr="003F317B">
        <w:t xml:space="preserve"> such, it is a measure of </w:t>
      </w:r>
      <w:r w:rsidRPr="003F317B">
        <w:lastRenderedPageBreak/>
        <w:t>the percentage increases in a firm's sales revenues and which must be in line with the organization's defined policy.</w:t>
      </w:r>
    </w:p>
    <w:p w:rsidR="0056607B" w:rsidRPr="003F317B" w:rsidRDefault="00AC35D7" w:rsidP="00FF658D">
      <w:pPr>
        <w:spacing w:line="480" w:lineRule="auto"/>
        <w:ind w:left="720"/>
        <w:rPr>
          <w:rFonts w:eastAsiaTheme="minorEastAsia"/>
        </w:rPr>
      </w:pPr>
      <w:r w:rsidRPr="003F317B">
        <w:t>IGR=</w:t>
      </w:r>
      <m:oMath>
        <m:f>
          <m:fPr>
            <m:ctrlPr>
              <w:rPr>
                <w:rFonts w:ascii="Cambria Math" w:hAnsi="Cambria Math"/>
                <w:i/>
              </w:rPr>
            </m:ctrlPr>
          </m:fPr>
          <m:num>
            <m:r>
              <w:rPr>
                <w:rFonts w:ascii="Cambria Math" w:hAnsi="Cambria Math"/>
              </w:rPr>
              <m:t>ROA*b</m:t>
            </m:r>
          </m:num>
          <m:den>
            <m:r>
              <w:rPr>
                <w:rFonts w:ascii="Cambria Math" w:hAnsi="Cambria Math"/>
              </w:rPr>
              <m:t>1-(ROA*b)</m:t>
            </m:r>
          </m:den>
        </m:f>
      </m:oMath>
    </w:p>
    <w:p w:rsidR="0056607B" w:rsidRPr="003F317B" w:rsidRDefault="00AC35D7" w:rsidP="00FF658D">
      <w:pPr>
        <w:spacing w:line="480" w:lineRule="auto"/>
        <w:ind w:left="720"/>
      </w:pPr>
      <w:proofErr w:type="gramStart"/>
      <w:r w:rsidRPr="003F317B">
        <w:t>b</w:t>
      </w:r>
      <w:proofErr w:type="gramEnd"/>
      <w:r w:rsidRPr="003F317B">
        <w:t xml:space="preserve"> is Retention Ratio</w:t>
      </w:r>
    </w:p>
    <w:p w:rsidR="0056607B" w:rsidRPr="003F317B" w:rsidRDefault="00AC35D7" w:rsidP="00FF658D">
      <w:pPr>
        <w:spacing w:line="480" w:lineRule="auto"/>
        <w:ind w:left="720"/>
      </w:pPr>
      <w:r w:rsidRPr="003F317B">
        <w:t>ROA is the return on asset</w:t>
      </w:r>
    </w:p>
    <w:p w:rsidR="0056607B" w:rsidRPr="003F317B" w:rsidRDefault="00AC35D7" w:rsidP="00FF658D">
      <w:pPr>
        <w:spacing w:line="480" w:lineRule="auto"/>
        <w:ind w:left="720"/>
      </w:pPr>
      <w:r w:rsidRPr="003F317B">
        <w:t xml:space="preserve">IGR = </w:t>
      </w:r>
      <w:r w:rsidR="00796978" w:rsidRPr="00796978">
        <w:t>(0.1196*0.9802)</w:t>
      </w:r>
      <w:proofErr w:type="gramStart"/>
      <w:r w:rsidR="00796978" w:rsidRPr="00796978">
        <w:t>/(</w:t>
      </w:r>
      <w:proofErr w:type="gramEnd"/>
      <w:r w:rsidR="00796978" w:rsidRPr="00796978">
        <w:t>1-0.1196*0.9802)</w:t>
      </w:r>
    </w:p>
    <w:p w:rsidR="0056607B" w:rsidRPr="003F317B" w:rsidRDefault="00AC35D7" w:rsidP="00FF658D">
      <w:pPr>
        <w:spacing w:line="480" w:lineRule="auto"/>
        <w:ind w:left="720"/>
      </w:pPr>
      <w:r w:rsidRPr="003F317B">
        <w:t>=</w:t>
      </w:r>
      <w:r w:rsidR="00796978">
        <w:t>13.28</w:t>
      </w:r>
      <w:r w:rsidRPr="003F317B">
        <w:t>%</w:t>
      </w:r>
    </w:p>
    <w:p w:rsidR="0056607B" w:rsidRPr="003F317B" w:rsidRDefault="00AC35D7" w:rsidP="0056607B">
      <w:pPr>
        <w:spacing w:line="480" w:lineRule="auto"/>
        <w:ind w:firstLine="720"/>
      </w:pPr>
      <w:r w:rsidRPr="003F317B">
        <w:t xml:space="preserve">The internal growth gives the stakeholder a better understanding </w:t>
      </w:r>
      <w:r w:rsidRPr="00D72C56">
        <w:rPr>
          <w:noProof/>
        </w:rPr>
        <w:t>o</w:t>
      </w:r>
      <w:r>
        <w:rPr>
          <w:noProof/>
        </w:rPr>
        <w:t>f</w:t>
      </w:r>
      <w:r w:rsidRPr="003F317B">
        <w:t xml:space="preserve"> how well the firm can </w:t>
      </w:r>
      <w:r w:rsidRPr="00D72C56">
        <w:rPr>
          <w:noProof/>
        </w:rPr>
        <w:t>increase</w:t>
      </w:r>
      <w:r w:rsidRPr="003F317B">
        <w:t xml:space="preserve"> its revenues without getting </w:t>
      </w:r>
      <w:r w:rsidRPr="00D72C56">
        <w:rPr>
          <w:noProof/>
        </w:rPr>
        <w:t>into</w:t>
      </w:r>
      <w:r w:rsidRPr="003F317B">
        <w:t xml:space="preserve"> debt financing or issuing more stock. A high rate </w:t>
      </w:r>
      <w:r w:rsidRPr="00D72C56">
        <w:rPr>
          <w:noProof/>
        </w:rPr>
        <w:t>indicate</w:t>
      </w:r>
      <w:r>
        <w:rPr>
          <w:noProof/>
        </w:rPr>
        <w:t>s</w:t>
      </w:r>
      <w:r w:rsidRPr="003F317B">
        <w:t xml:space="preserve"> the ability of a startup or an established firm to easily grow its sales while a low rate </w:t>
      </w:r>
      <w:r w:rsidRPr="00D72C56">
        <w:rPr>
          <w:noProof/>
        </w:rPr>
        <w:t>indicate</w:t>
      </w:r>
      <w:r>
        <w:rPr>
          <w:noProof/>
        </w:rPr>
        <w:t>s</w:t>
      </w:r>
      <w:r w:rsidRPr="003F317B">
        <w:t xml:space="preserve"> the need for more investment. The percentage obtained for Monsanto (1</w:t>
      </w:r>
      <w:r w:rsidR="00796978">
        <w:t>3</w:t>
      </w:r>
      <w:r w:rsidRPr="003F317B">
        <w:t>.57%) is relatively low and indicates that the firm requires additional financing, through either debt or equity.</w:t>
      </w:r>
    </w:p>
    <w:p w:rsidR="0056607B" w:rsidRPr="003F317B" w:rsidRDefault="00AC35D7" w:rsidP="0056607B">
      <w:pPr>
        <w:spacing w:line="480" w:lineRule="auto"/>
        <w:jc w:val="center"/>
        <w:rPr>
          <w:b/>
        </w:rPr>
      </w:pPr>
      <w:r w:rsidRPr="003F317B">
        <w:rPr>
          <w:b/>
        </w:rPr>
        <w:t>Questions and Challenges</w:t>
      </w:r>
    </w:p>
    <w:p w:rsidR="0056607B" w:rsidRPr="003F317B" w:rsidRDefault="00AC35D7" w:rsidP="0056607B">
      <w:pPr>
        <w:spacing w:line="480" w:lineRule="auto"/>
      </w:pPr>
      <w:r w:rsidRPr="003F317B">
        <w:t xml:space="preserve"> </w:t>
      </w:r>
      <w:r w:rsidRPr="003F317B">
        <w:tab/>
        <w:t xml:space="preserve">This milestone was quite interesting and at the same time challenging. One of the key challenges was the determination of the EFN, which entailed putting into consideration </w:t>
      </w:r>
      <w:r>
        <w:t xml:space="preserve">all </w:t>
      </w:r>
      <w:r w:rsidRPr="003F317B">
        <w:t>the information provided. Secondly, I</w:t>
      </w:r>
      <w:r>
        <w:t xml:space="preserve"> also found </w:t>
      </w:r>
      <w:r w:rsidRPr="003F317B">
        <w:t xml:space="preserve">myself stranded on whether to use the given 3% growth in </w:t>
      </w:r>
      <w:r w:rsidRPr="00D72C56">
        <w:rPr>
          <w:noProof/>
        </w:rPr>
        <w:t>sales</w:t>
      </w:r>
      <w:r w:rsidRPr="003F317B">
        <w:t xml:space="preserve"> or calculate the</w:t>
      </w:r>
      <w:r>
        <w:t xml:space="preserve"> rate from the</w:t>
      </w:r>
      <w:r w:rsidRPr="003F317B">
        <w:t xml:space="preserve"> data </w:t>
      </w:r>
      <w:r>
        <w:t xml:space="preserve">given </w:t>
      </w:r>
      <w:r w:rsidRPr="003F317B">
        <w:t>regarding the</w:t>
      </w:r>
      <w:r>
        <w:t xml:space="preserve"> projected increase</w:t>
      </w:r>
      <w:r w:rsidRPr="003F317B">
        <w:t xml:space="preserve"> in the sales; </w:t>
      </w:r>
      <w:r>
        <w:t>this information was found to be</w:t>
      </w:r>
      <w:r w:rsidR="00796978">
        <w:t xml:space="preserve"> </w:t>
      </w:r>
      <w:r w:rsidRPr="003F317B">
        <w:t xml:space="preserve">a bit confusing. Finally, I found it challenging to decide on whether to use </w:t>
      </w:r>
      <w:r>
        <w:t>a</w:t>
      </w:r>
      <w:r w:rsidRPr="003F317B">
        <w:t>ccounts payables amount (in 2015 balance sheet) for L</w:t>
      </w:r>
      <w:r w:rsidRPr="00861EA1">
        <w:rPr>
          <w:sz w:val="20"/>
        </w:rPr>
        <w:t xml:space="preserve">0 </w:t>
      </w:r>
      <w:r w:rsidRPr="003F317B">
        <w:t xml:space="preserve">when calculating the </w:t>
      </w:r>
      <w:r w:rsidRPr="00D72C56">
        <w:rPr>
          <w:noProof/>
        </w:rPr>
        <w:t>EFN</w:t>
      </w:r>
      <w:r w:rsidRPr="003F317B">
        <w:t xml:space="preserve"> or use the outlined debt of </w:t>
      </w:r>
      <w:r w:rsidRPr="003F317B">
        <w:rPr>
          <w:shd w:val="clear" w:color="auto" w:fill="FFFFFF"/>
        </w:rPr>
        <w:t>$12,359,333.</w:t>
      </w:r>
    </w:p>
    <w:p w:rsidR="0056607B" w:rsidRPr="003F317B" w:rsidRDefault="0056607B" w:rsidP="0056607B">
      <w:pPr>
        <w:spacing w:line="480" w:lineRule="auto"/>
        <w:rPr>
          <w:rFonts w:eastAsiaTheme="minorEastAsia"/>
        </w:rPr>
      </w:pPr>
    </w:p>
    <w:p w:rsidR="0056607B" w:rsidRPr="003F317B" w:rsidRDefault="0056607B" w:rsidP="0056607B">
      <w:pPr>
        <w:shd w:val="clear" w:color="auto" w:fill="FFFFFF"/>
        <w:spacing w:before="100" w:beforeAutospacing="1" w:after="100" w:afterAutospacing="1"/>
        <w:rPr>
          <w:rFonts w:eastAsia="Times New Roman"/>
        </w:rPr>
      </w:pPr>
    </w:p>
    <w:p w:rsidR="0056607B" w:rsidRPr="003F317B" w:rsidRDefault="00AC35D7" w:rsidP="004321D1">
      <w:pPr>
        <w:spacing w:line="480" w:lineRule="auto"/>
        <w:jc w:val="center"/>
      </w:pPr>
      <w:r w:rsidRPr="003F317B">
        <w:lastRenderedPageBreak/>
        <w:t>References</w:t>
      </w:r>
    </w:p>
    <w:p w:rsidR="004321D1" w:rsidRDefault="004321D1">
      <w:pPr>
        <w:pStyle w:val="Body"/>
        <w:spacing w:after="0" w:line="480" w:lineRule="auto"/>
        <w:jc w:val="center"/>
      </w:pPr>
    </w:p>
    <w:p w:rsidR="004321D1" w:rsidRDefault="00AC35D7" w:rsidP="004321D1">
      <w:pPr>
        <w:pStyle w:val="Body"/>
        <w:spacing w:line="480" w:lineRule="auto"/>
        <w:ind w:left="720" w:hanging="72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Alexander, C. (2001). </w:t>
      </w:r>
      <w:r>
        <w:rPr>
          <w:rFonts w:ascii="Times New Roman" w:hAnsi="Times New Roman"/>
          <w:i/>
          <w:iCs/>
          <w:sz w:val="24"/>
          <w:szCs w:val="24"/>
          <w:shd w:val="clear" w:color="auto" w:fill="FFFFFF"/>
        </w:rPr>
        <w:t>Market models: A guide to financial data analysis</w:t>
      </w:r>
      <w:r>
        <w:rPr>
          <w:rFonts w:ascii="Times New Roman" w:hAnsi="Times New Roman"/>
          <w:sz w:val="24"/>
          <w:szCs w:val="24"/>
          <w:shd w:val="clear" w:color="auto" w:fill="FFFFFF"/>
          <w:lang w:val="it-IT"/>
        </w:rPr>
        <w:t>. John Wiley &amp; Sons.</w:t>
      </w:r>
    </w:p>
    <w:p w:rsidR="004321D1" w:rsidRPr="003F317B" w:rsidRDefault="00AC35D7" w:rsidP="004321D1">
      <w:pPr>
        <w:spacing w:line="480" w:lineRule="auto"/>
        <w:ind w:left="720" w:hanging="720"/>
        <w:rPr>
          <w:shd w:val="clear" w:color="auto" w:fill="FFFFFF"/>
        </w:rPr>
      </w:pPr>
      <w:proofErr w:type="spellStart"/>
      <w:r w:rsidRPr="003F317B">
        <w:rPr>
          <w:shd w:val="clear" w:color="auto" w:fill="FFFFFF"/>
        </w:rPr>
        <w:t>Amouzesh</w:t>
      </w:r>
      <w:proofErr w:type="spellEnd"/>
      <w:r w:rsidRPr="003F317B">
        <w:rPr>
          <w:shd w:val="clear" w:color="auto" w:fill="FFFFFF"/>
        </w:rPr>
        <w:t xml:space="preserve">, N., </w:t>
      </w:r>
      <w:proofErr w:type="spellStart"/>
      <w:r w:rsidRPr="003F317B">
        <w:rPr>
          <w:shd w:val="clear" w:color="auto" w:fill="FFFFFF"/>
        </w:rPr>
        <w:t>Moeinfar</w:t>
      </w:r>
      <w:proofErr w:type="spellEnd"/>
      <w:r w:rsidRPr="003F317B">
        <w:rPr>
          <w:shd w:val="clear" w:color="auto" w:fill="FFFFFF"/>
        </w:rPr>
        <w:t>, Z., &amp; Mousavi, Z. (2011). Sustainable growth rate and firm performance: Evidence from Iran Stock Exchange. </w:t>
      </w:r>
      <w:r w:rsidRPr="003F317B">
        <w:rPr>
          <w:i/>
          <w:iCs/>
          <w:shd w:val="clear" w:color="auto" w:fill="FFFFFF"/>
        </w:rPr>
        <w:t>International Journal of Business and Social Science</w:t>
      </w:r>
      <w:r w:rsidRPr="003F317B">
        <w:rPr>
          <w:shd w:val="clear" w:color="auto" w:fill="FFFFFF"/>
        </w:rPr>
        <w:t>, </w:t>
      </w:r>
      <w:r w:rsidRPr="003F317B">
        <w:rPr>
          <w:i/>
          <w:iCs/>
          <w:shd w:val="clear" w:color="auto" w:fill="FFFFFF"/>
        </w:rPr>
        <w:t>2</w:t>
      </w:r>
      <w:r w:rsidRPr="003F317B">
        <w:rPr>
          <w:shd w:val="clear" w:color="auto" w:fill="FFFFFF"/>
        </w:rPr>
        <w:t>(23).</w:t>
      </w:r>
    </w:p>
    <w:p w:rsidR="004321D1" w:rsidRPr="004321D1" w:rsidRDefault="00AC35D7" w:rsidP="004321D1">
      <w:pPr>
        <w:spacing w:line="480" w:lineRule="auto"/>
        <w:ind w:left="720" w:hanging="720"/>
      </w:pPr>
      <w:r w:rsidRPr="003F317B">
        <w:rPr>
          <w:shd w:val="clear" w:color="auto" w:fill="FFFFFF"/>
        </w:rPr>
        <w:t>David, E., Arthur, S., &amp; Michael, M. (2004). </w:t>
      </w:r>
      <w:r w:rsidRPr="003F317B">
        <w:rPr>
          <w:i/>
          <w:iCs/>
          <w:shd w:val="clear" w:color="auto" w:fill="FFFFFF"/>
        </w:rPr>
        <w:t>Multinational business finance</w:t>
      </w:r>
      <w:r w:rsidRPr="003F317B">
        <w:rPr>
          <w:shd w:val="clear" w:color="auto" w:fill="FFFFFF"/>
        </w:rPr>
        <w:t>. Addison-Wesley.</w:t>
      </w:r>
    </w:p>
    <w:p w:rsidR="004321D1" w:rsidRPr="003F317B" w:rsidRDefault="00AC35D7" w:rsidP="004321D1">
      <w:pPr>
        <w:spacing w:line="480" w:lineRule="auto"/>
        <w:ind w:left="720" w:hanging="720"/>
        <w:rPr>
          <w:shd w:val="clear" w:color="auto" w:fill="FFFFFF"/>
        </w:rPr>
      </w:pPr>
      <w:proofErr w:type="spellStart"/>
      <w:r w:rsidRPr="003F317B">
        <w:rPr>
          <w:shd w:val="clear" w:color="auto" w:fill="FFFFFF"/>
        </w:rPr>
        <w:t>Hovakimian</w:t>
      </w:r>
      <w:proofErr w:type="spellEnd"/>
      <w:r w:rsidRPr="003F317B">
        <w:rPr>
          <w:shd w:val="clear" w:color="auto" w:fill="FFFFFF"/>
        </w:rPr>
        <w:t xml:space="preserve">, A., </w:t>
      </w:r>
      <w:proofErr w:type="spellStart"/>
      <w:r w:rsidRPr="003F317B">
        <w:rPr>
          <w:shd w:val="clear" w:color="auto" w:fill="FFFFFF"/>
        </w:rPr>
        <w:t>Opler</w:t>
      </w:r>
      <w:proofErr w:type="spellEnd"/>
      <w:r w:rsidRPr="003F317B">
        <w:rPr>
          <w:shd w:val="clear" w:color="auto" w:fill="FFFFFF"/>
        </w:rPr>
        <w:t>, T., &amp; Titman, S. (2001). The debt-equity choice. </w:t>
      </w:r>
      <w:r w:rsidRPr="003F317B">
        <w:rPr>
          <w:i/>
          <w:iCs/>
          <w:shd w:val="clear" w:color="auto" w:fill="FFFFFF"/>
        </w:rPr>
        <w:t>Journal of Financial and Quantitative analysis</w:t>
      </w:r>
      <w:r w:rsidRPr="003F317B">
        <w:rPr>
          <w:shd w:val="clear" w:color="auto" w:fill="FFFFFF"/>
        </w:rPr>
        <w:t>, </w:t>
      </w:r>
      <w:r w:rsidRPr="003F317B">
        <w:rPr>
          <w:i/>
          <w:iCs/>
          <w:shd w:val="clear" w:color="auto" w:fill="FFFFFF"/>
        </w:rPr>
        <w:t>36</w:t>
      </w:r>
      <w:r w:rsidRPr="003F317B">
        <w:rPr>
          <w:shd w:val="clear" w:color="auto" w:fill="FFFFFF"/>
        </w:rPr>
        <w:t>(1), 1-24.</w:t>
      </w:r>
    </w:p>
    <w:p w:rsidR="004321D1" w:rsidRDefault="00AC35D7" w:rsidP="004321D1">
      <w:pPr>
        <w:pStyle w:val="Body"/>
        <w:spacing w:line="480" w:lineRule="auto"/>
        <w:ind w:left="720" w:hanging="720"/>
        <w:rPr>
          <w:rFonts w:ascii="Times New Roman" w:eastAsia="Times New Roman" w:hAnsi="Times New Roman" w:cs="Times New Roman"/>
          <w:sz w:val="24"/>
          <w:szCs w:val="24"/>
        </w:rPr>
      </w:pPr>
      <w:proofErr w:type="spellStart"/>
      <w:r>
        <w:rPr>
          <w:rFonts w:ascii="Times New Roman" w:hAnsi="Times New Roman"/>
          <w:sz w:val="24"/>
          <w:szCs w:val="24"/>
          <w:shd w:val="clear" w:color="auto" w:fill="FFFFFF"/>
        </w:rPr>
        <w:t>Lesakova</w:t>
      </w:r>
      <w:proofErr w:type="spellEnd"/>
      <w:r>
        <w:rPr>
          <w:rFonts w:ascii="Times New Roman" w:hAnsi="Times New Roman"/>
          <w:sz w:val="24"/>
          <w:szCs w:val="24"/>
          <w:shd w:val="clear" w:color="auto" w:fill="FFFFFF"/>
        </w:rPr>
        <w:t>, L. (2007, June). Uses and limitations of profitability ratio analysis in managerial practice. In </w:t>
      </w:r>
      <w:r>
        <w:rPr>
          <w:rFonts w:ascii="Times New Roman" w:hAnsi="Times New Roman"/>
          <w:i/>
          <w:iCs/>
          <w:sz w:val="24"/>
          <w:szCs w:val="24"/>
          <w:shd w:val="clear" w:color="auto" w:fill="FFFFFF"/>
        </w:rPr>
        <w:t>International Conference on Management, Enterprise and Benchmarking</w:t>
      </w:r>
      <w:r>
        <w:rPr>
          <w:rFonts w:ascii="Times New Roman" w:hAnsi="Times New Roman"/>
          <w:sz w:val="24"/>
          <w:szCs w:val="24"/>
          <w:shd w:val="clear" w:color="auto" w:fill="FFFFFF"/>
        </w:rPr>
        <w:t xml:space="preserve"> (Pp. 1-2).</w:t>
      </w:r>
    </w:p>
    <w:p w:rsidR="004321D1" w:rsidRDefault="00AC35D7" w:rsidP="004321D1">
      <w:pPr>
        <w:pStyle w:val="Body"/>
        <w:spacing w:line="480" w:lineRule="auto"/>
        <w:ind w:left="720" w:hanging="72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Lin, F., Liang, D., &amp; Chen, E. (2011). Financial ratio selection for business crisis prediction. </w:t>
      </w:r>
      <w:r>
        <w:rPr>
          <w:rFonts w:ascii="Times New Roman" w:hAnsi="Times New Roman"/>
          <w:i/>
          <w:iCs/>
          <w:sz w:val="24"/>
          <w:szCs w:val="24"/>
          <w:shd w:val="clear" w:color="auto" w:fill="FFFFFF"/>
        </w:rPr>
        <w:t>Expert Systems with Applications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38</w:t>
      </w:r>
      <w:r>
        <w:rPr>
          <w:rFonts w:ascii="Times New Roman" w:hAnsi="Times New Roman"/>
          <w:sz w:val="24"/>
          <w:szCs w:val="24"/>
          <w:shd w:val="clear" w:color="auto" w:fill="FFFFFF"/>
        </w:rPr>
        <w:t>(12), 15094-15102.</w:t>
      </w:r>
    </w:p>
    <w:p w:rsidR="004321D1" w:rsidRDefault="00AC35D7" w:rsidP="004321D1">
      <w:pPr>
        <w:pStyle w:val="Body"/>
        <w:spacing w:line="480" w:lineRule="auto"/>
        <w:ind w:left="720" w:hanging="720"/>
        <w:rPr>
          <w:rFonts w:ascii="Times New Roman" w:eastAsia="Times New Roman" w:hAnsi="Times New Roman" w:cs="Times New Roman"/>
          <w:sz w:val="24"/>
          <w:szCs w:val="24"/>
          <w:shd w:val="clear" w:color="auto" w:fill="FFFFFF"/>
        </w:rPr>
      </w:pPr>
      <w:proofErr w:type="spellStart"/>
      <w:r>
        <w:rPr>
          <w:rFonts w:ascii="Times New Roman" w:hAnsi="Times New Roman"/>
          <w:sz w:val="24"/>
          <w:szCs w:val="24"/>
          <w:shd w:val="clear" w:color="auto" w:fill="FFFFFF"/>
        </w:rPr>
        <w:t>Nissim</w:t>
      </w:r>
      <w:proofErr w:type="spellEnd"/>
      <w:r>
        <w:rPr>
          <w:rFonts w:ascii="Times New Roman" w:hAnsi="Times New Roman"/>
          <w:sz w:val="24"/>
          <w:szCs w:val="24"/>
          <w:shd w:val="clear" w:color="auto" w:fill="FFFFFF"/>
        </w:rPr>
        <w:t>, D., &amp; Penman, S. H. (2001). Ratio analysis and equity valuation: From research to practice. </w:t>
      </w:r>
      <w:r>
        <w:rPr>
          <w:rFonts w:ascii="Times New Roman" w:hAnsi="Times New Roman"/>
          <w:i/>
          <w:iCs/>
          <w:sz w:val="24"/>
          <w:szCs w:val="24"/>
          <w:shd w:val="clear" w:color="auto" w:fill="FFFFFF"/>
        </w:rPr>
        <w:t>Review of Accounting Studies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6</w:t>
      </w:r>
      <w:r>
        <w:rPr>
          <w:rFonts w:ascii="Times New Roman" w:hAnsi="Times New Roman"/>
          <w:sz w:val="24"/>
          <w:szCs w:val="24"/>
          <w:shd w:val="clear" w:color="auto" w:fill="FFFFFF"/>
        </w:rPr>
        <w:t>(1), 109-154.</w:t>
      </w:r>
    </w:p>
    <w:p w:rsidR="004321D1" w:rsidRDefault="00AC35D7" w:rsidP="004321D1">
      <w:pPr>
        <w:pStyle w:val="Body"/>
        <w:spacing w:line="480" w:lineRule="auto"/>
        <w:ind w:left="720" w:hanging="720"/>
        <w:rPr>
          <w:rFonts w:ascii="Times New Roman" w:eastAsia="Times New Roman" w:hAnsi="Times New Roman" w:cs="Times New Roman"/>
          <w:sz w:val="24"/>
          <w:szCs w:val="24"/>
          <w:shd w:val="clear" w:color="auto" w:fill="FFFFFF"/>
        </w:rPr>
      </w:pPr>
      <w:proofErr w:type="spellStart"/>
      <w:r>
        <w:rPr>
          <w:rFonts w:ascii="Times New Roman" w:hAnsi="Times New Roman"/>
          <w:sz w:val="24"/>
          <w:szCs w:val="24"/>
          <w:shd w:val="clear" w:color="auto" w:fill="FFFFFF"/>
        </w:rPr>
        <w:t>Sanju</w:t>
      </w:r>
      <w:proofErr w:type="spellEnd"/>
      <w:r>
        <w:rPr>
          <w:rFonts w:ascii="Times New Roman" w:hAnsi="Times New Roman"/>
          <w:sz w:val="24"/>
          <w:szCs w:val="24"/>
          <w:shd w:val="clear" w:color="auto" w:fill="FFFFFF"/>
        </w:rPr>
        <w:t>, P. S., Ramachandran, M., &amp; Nirmala, P. S. (2011). Determinants of share prices in India. </w:t>
      </w:r>
      <w:r>
        <w:rPr>
          <w:rFonts w:ascii="Times New Roman" w:hAnsi="Times New Roman"/>
          <w:i/>
          <w:iCs/>
          <w:sz w:val="24"/>
          <w:szCs w:val="24"/>
          <w:shd w:val="clear" w:color="auto" w:fill="FFFFFF"/>
        </w:rPr>
        <w:t>Journal of Emerging Trends in Economics and Management Sciences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w:t>
      </w:r>
      <w:r>
        <w:rPr>
          <w:rFonts w:ascii="Times New Roman" w:hAnsi="Times New Roman"/>
          <w:sz w:val="24"/>
          <w:szCs w:val="24"/>
          <w:shd w:val="clear" w:color="auto" w:fill="FFFFFF"/>
        </w:rPr>
        <w:t>(2), 124-130.</w:t>
      </w:r>
    </w:p>
    <w:p w:rsidR="004321D1" w:rsidRDefault="00AC35D7" w:rsidP="004321D1">
      <w:pPr>
        <w:pStyle w:val="Body"/>
        <w:spacing w:line="480" w:lineRule="auto"/>
        <w:ind w:left="720" w:hanging="72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White, G. L., </w:t>
      </w:r>
      <w:proofErr w:type="spellStart"/>
      <w:r>
        <w:rPr>
          <w:rFonts w:ascii="Times New Roman" w:hAnsi="Times New Roman"/>
          <w:sz w:val="24"/>
          <w:szCs w:val="24"/>
          <w:shd w:val="clear" w:color="auto" w:fill="FFFFFF"/>
        </w:rPr>
        <w:t>Sondh</w:t>
      </w:r>
      <w:proofErr w:type="spellEnd"/>
      <w:r>
        <w:rPr>
          <w:rFonts w:ascii="Times New Roman" w:hAnsi="Times New Roman"/>
          <w:sz w:val="24"/>
          <w:szCs w:val="24"/>
          <w:shd w:val="clear" w:color="auto" w:fill="FFFFFF"/>
        </w:rPr>
        <w:t xml:space="preserve">, A. C., &amp; Fried, D. (2005). Analysis of Financial Statements. </w:t>
      </w:r>
      <w:r>
        <w:rPr>
          <w:rFonts w:ascii="Times New Roman" w:hAnsi="Times New Roman"/>
          <w:i/>
          <w:iCs/>
          <w:sz w:val="24"/>
          <w:szCs w:val="24"/>
          <w:shd w:val="clear" w:color="auto" w:fill="FFFFFF"/>
        </w:rPr>
        <w:t>Analysis</w:t>
      </w:r>
      <w:r>
        <w:rPr>
          <w:rFonts w:ascii="Times New Roman" w:hAnsi="Times New Roman"/>
          <w:sz w:val="24"/>
          <w:szCs w:val="24"/>
          <w:shd w:val="clear" w:color="auto" w:fill="FFFFFF"/>
        </w:rPr>
        <w:t>.</w:t>
      </w:r>
    </w:p>
    <w:sectPr w:rsidR="004321D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E4" w:rsidRDefault="00E55EE4">
      <w:r>
        <w:separator/>
      </w:r>
    </w:p>
  </w:endnote>
  <w:endnote w:type="continuationSeparator" w:id="0">
    <w:p w:rsidR="00E55EE4" w:rsidRDefault="00E5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0A" w:rsidRDefault="00DA2F0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0A" w:rsidRDefault="00DA2F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E4" w:rsidRDefault="00E55EE4">
      <w:r>
        <w:separator/>
      </w:r>
    </w:p>
  </w:footnote>
  <w:footnote w:type="continuationSeparator" w:id="0">
    <w:p w:rsidR="00E55EE4" w:rsidRDefault="00E55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0A" w:rsidRDefault="00AC35D7">
    <w:pPr>
      <w:pStyle w:val="NoSpacing"/>
    </w:pPr>
    <w:r>
      <w:rPr>
        <w:rFonts w:ascii="Times New Roman" w:hAnsi="Times New Roman"/>
        <w:sz w:val="24"/>
        <w:szCs w:val="24"/>
      </w:rPr>
      <w:t>MONSANTO FINANCIAL ANALYSIS</w:t>
    </w:r>
    <w:r>
      <w:rPr>
        <w:rFonts w:ascii="Times New Roman" w:hAnsi="Times New Roman"/>
        <w:sz w:val="24"/>
        <w:szCs w:val="24"/>
      </w:rPr>
      <w:tab/>
    </w:r>
    <w:r>
      <w:tab/>
    </w:r>
    <w:r>
      <w:tab/>
    </w:r>
    <w:r>
      <w:tab/>
    </w:r>
    <w:r>
      <w:tab/>
    </w:r>
    <w:r w:rsidR="00796978">
      <w:t xml:space="preserve">      </w:t>
    </w:r>
    <w:r>
      <w:tab/>
    </w:r>
    <w:r>
      <w:tab/>
    </w:r>
    <w:r w:rsidR="00796978">
      <w:t xml:space="preserve">     </w:t>
    </w:r>
    <w:r>
      <w:rPr>
        <w:rFonts w:ascii="Times New Roman" w:hAnsi="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sidR="0010391C">
      <w:rPr>
        <w:rFonts w:ascii="Times New Roman" w:eastAsia="Times New Roman" w:hAnsi="Times New Roman" w:cs="Times New Roman"/>
        <w:noProof/>
        <w:sz w:val="24"/>
        <w:szCs w:val="24"/>
      </w:rPr>
      <w:t>14</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0A" w:rsidRDefault="00AC35D7">
    <w:pPr>
      <w:pStyle w:val="NoSpacing"/>
    </w:pPr>
    <w:r>
      <w:rPr>
        <w:rFonts w:ascii="Times New Roman" w:hAnsi="Times New Roman"/>
        <w:sz w:val="24"/>
        <w:szCs w:val="24"/>
      </w:rPr>
      <w:t>MONSANTO FINANCIAL ANALYSIS</w:t>
    </w:r>
    <w:r>
      <w:rPr>
        <w:rFonts w:ascii="Times New Roman" w:hAnsi="Times New Roman"/>
        <w:sz w:val="24"/>
        <w:szCs w:val="24"/>
      </w:rPr>
      <w:tab/>
    </w:r>
    <w:r>
      <w:tab/>
    </w:r>
    <w:r>
      <w:tab/>
    </w:r>
    <w:r>
      <w:tab/>
    </w:r>
    <w:r w:rsidR="00796978">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sidR="0010391C">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B38DF"/>
    <w:multiLevelType w:val="hybridMultilevel"/>
    <w:tmpl w:val="0D2CA780"/>
    <w:lvl w:ilvl="0" w:tplc="1B060E2C">
      <w:start w:val="1"/>
      <w:numFmt w:val="bullet"/>
      <w:lvlText w:val=""/>
      <w:lvlJc w:val="left"/>
      <w:pPr>
        <w:ind w:left="1080" w:hanging="360"/>
      </w:pPr>
      <w:rPr>
        <w:rFonts w:ascii="Symbol" w:hAnsi="Symbol" w:hint="default"/>
      </w:rPr>
    </w:lvl>
    <w:lvl w:ilvl="1" w:tplc="FEC4424C" w:tentative="1">
      <w:start w:val="1"/>
      <w:numFmt w:val="bullet"/>
      <w:lvlText w:val="o"/>
      <w:lvlJc w:val="left"/>
      <w:pPr>
        <w:ind w:left="1800" w:hanging="360"/>
      </w:pPr>
      <w:rPr>
        <w:rFonts w:ascii="Courier New" w:hAnsi="Courier New" w:cs="Courier New" w:hint="default"/>
      </w:rPr>
    </w:lvl>
    <w:lvl w:ilvl="2" w:tplc="CEEEF87C" w:tentative="1">
      <w:start w:val="1"/>
      <w:numFmt w:val="bullet"/>
      <w:lvlText w:val=""/>
      <w:lvlJc w:val="left"/>
      <w:pPr>
        <w:ind w:left="2520" w:hanging="360"/>
      </w:pPr>
      <w:rPr>
        <w:rFonts w:ascii="Wingdings" w:hAnsi="Wingdings" w:hint="default"/>
      </w:rPr>
    </w:lvl>
    <w:lvl w:ilvl="3" w:tplc="5CC45220" w:tentative="1">
      <w:start w:val="1"/>
      <w:numFmt w:val="bullet"/>
      <w:lvlText w:val=""/>
      <w:lvlJc w:val="left"/>
      <w:pPr>
        <w:ind w:left="3240" w:hanging="360"/>
      </w:pPr>
      <w:rPr>
        <w:rFonts w:ascii="Symbol" w:hAnsi="Symbol" w:hint="default"/>
      </w:rPr>
    </w:lvl>
    <w:lvl w:ilvl="4" w:tplc="F03CB9D0" w:tentative="1">
      <w:start w:val="1"/>
      <w:numFmt w:val="bullet"/>
      <w:lvlText w:val="o"/>
      <w:lvlJc w:val="left"/>
      <w:pPr>
        <w:ind w:left="3960" w:hanging="360"/>
      </w:pPr>
      <w:rPr>
        <w:rFonts w:ascii="Courier New" w:hAnsi="Courier New" w:cs="Courier New" w:hint="default"/>
      </w:rPr>
    </w:lvl>
    <w:lvl w:ilvl="5" w:tplc="0820265A" w:tentative="1">
      <w:start w:val="1"/>
      <w:numFmt w:val="bullet"/>
      <w:lvlText w:val=""/>
      <w:lvlJc w:val="left"/>
      <w:pPr>
        <w:ind w:left="4680" w:hanging="360"/>
      </w:pPr>
      <w:rPr>
        <w:rFonts w:ascii="Wingdings" w:hAnsi="Wingdings" w:hint="default"/>
      </w:rPr>
    </w:lvl>
    <w:lvl w:ilvl="6" w:tplc="B0485F2E" w:tentative="1">
      <w:start w:val="1"/>
      <w:numFmt w:val="bullet"/>
      <w:lvlText w:val=""/>
      <w:lvlJc w:val="left"/>
      <w:pPr>
        <w:ind w:left="5400" w:hanging="360"/>
      </w:pPr>
      <w:rPr>
        <w:rFonts w:ascii="Symbol" w:hAnsi="Symbol" w:hint="default"/>
      </w:rPr>
    </w:lvl>
    <w:lvl w:ilvl="7" w:tplc="FF167ADE" w:tentative="1">
      <w:start w:val="1"/>
      <w:numFmt w:val="bullet"/>
      <w:lvlText w:val="o"/>
      <w:lvlJc w:val="left"/>
      <w:pPr>
        <w:ind w:left="6120" w:hanging="360"/>
      </w:pPr>
      <w:rPr>
        <w:rFonts w:ascii="Courier New" w:hAnsi="Courier New" w:cs="Courier New" w:hint="default"/>
      </w:rPr>
    </w:lvl>
    <w:lvl w:ilvl="8" w:tplc="0B52AF16" w:tentative="1">
      <w:start w:val="1"/>
      <w:numFmt w:val="bullet"/>
      <w:lvlText w:val=""/>
      <w:lvlJc w:val="left"/>
      <w:pPr>
        <w:ind w:left="6840" w:hanging="360"/>
      </w:pPr>
      <w:rPr>
        <w:rFonts w:ascii="Wingdings" w:hAnsi="Wingdings" w:hint="default"/>
      </w:rPr>
    </w:lvl>
  </w:abstractNum>
  <w:abstractNum w:abstractNumId="1" w15:restartNumberingAfterBreak="0">
    <w:nsid w:val="3FAB438A"/>
    <w:multiLevelType w:val="multilevel"/>
    <w:tmpl w:val="6FE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E1448"/>
    <w:multiLevelType w:val="hybridMultilevel"/>
    <w:tmpl w:val="CC686EBC"/>
    <w:lvl w:ilvl="0" w:tplc="799E3F58">
      <w:start w:val="1"/>
      <w:numFmt w:val="bullet"/>
      <w:lvlText w:val=""/>
      <w:lvlJc w:val="left"/>
      <w:pPr>
        <w:ind w:left="1080" w:hanging="360"/>
      </w:pPr>
      <w:rPr>
        <w:rFonts w:ascii="Symbol" w:hAnsi="Symbol" w:hint="default"/>
      </w:rPr>
    </w:lvl>
    <w:lvl w:ilvl="1" w:tplc="6B82BD44" w:tentative="1">
      <w:start w:val="1"/>
      <w:numFmt w:val="bullet"/>
      <w:lvlText w:val="o"/>
      <w:lvlJc w:val="left"/>
      <w:pPr>
        <w:ind w:left="1800" w:hanging="360"/>
      </w:pPr>
      <w:rPr>
        <w:rFonts w:ascii="Courier New" w:hAnsi="Courier New" w:cs="Courier New" w:hint="default"/>
      </w:rPr>
    </w:lvl>
    <w:lvl w:ilvl="2" w:tplc="4C607448" w:tentative="1">
      <w:start w:val="1"/>
      <w:numFmt w:val="bullet"/>
      <w:lvlText w:val=""/>
      <w:lvlJc w:val="left"/>
      <w:pPr>
        <w:ind w:left="2520" w:hanging="360"/>
      </w:pPr>
      <w:rPr>
        <w:rFonts w:ascii="Wingdings" w:hAnsi="Wingdings" w:hint="default"/>
      </w:rPr>
    </w:lvl>
    <w:lvl w:ilvl="3" w:tplc="57D0468A" w:tentative="1">
      <w:start w:val="1"/>
      <w:numFmt w:val="bullet"/>
      <w:lvlText w:val=""/>
      <w:lvlJc w:val="left"/>
      <w:pPr>
        <w:ind w:left="3240" w:hanging="360"/>
      </w:pPr>
      <w:rPr>
        <w:rFonts w:ascii="Symbol" w:hAnsi="Symbol" w:hint="default"/>
      </w:rPr>
    </w:lvl>
    <w:lvl w:ilvl="4" w:tplc="9DA2CB60" w:tentative="1">
      <w:start w:val="1"/>
      <w:numFmt w:val="bullet"/>
      <w:lvlText w:val="o"/>
      <w:lvlJc w:val="left"/>
      <w:pPr>
        <w:ind w:left="3960" w:hanging="360"/>
      </w:pPr>
      <w:rPr>
        <w:rFonts w:ascii="Courier New" w:hAnsi="Courier New" w:cs="Courier New" w:hint="default"/>
      </w:rPr>
    </w:lvl>
    <w:lvl w:ilvl="5" w:tplc="AC00142A" w:tentative="1">
      <w:start w:val="1"/>
      <w:numFmt w:val="bullet"/>
      <w:lvlText w:val=""/>
      <w:lvlJc w:val="left"/>
      <w:pPr>
        <w:ind w:left="4680" w:hanging="360"/>
      </w:pPr>
      <w:rPr>
        <w:rFonts w:ascii="Wingdings" w:hAnsi="Wingdings" w:hint="default"/>
      </w:rPr>
    </w:lvl>
    <w:lvl w:ilvl="6" w:tplc="FB3A72D4" w:tentative="1">
      <w:start w:val="1"/>
      <w:numFmt w:val="bullet"/>
      <w:lvlText w:val=""/>
      <w:lvlJc w:val="left"/>
      <w:pPr>
        <w:ind w:left="5400" w:hanging="360"/>
      </w:pPr>
      <w:rPr>
        <w:rFonts w:ascii="Symbol" w:hAnsi="Symbol" w:hint="default"/>
      </w:rPr>
    </w:lvl>
    <w:lvl w:ilvl="7" w:tplc="AB5EB64C" w:tentative="1">
      <w:start w:val="1"/>
      <w:numFmt w:val="bullet"/>
      <w:lvlText w:val="o"/>
      <w:lvlJc w:val="left"/>
      <w:pPr>
        <w:ind w:left="6120" w:hanging="360"/>
      </w:pPr>
      <w:rPr>
        <w:rFonts w:ascii="Courier New" w:hAnsi="Courier New" w:cs="Courier New" w:hint="default"/>
      </w:rPr>
    </w:lvl>
    <w:lvl w:ilvl="8" w:tplc="2CAE677E" w:tentative="1">
      <w:start w:val="1"/>
      <w:numFmt w:val="bullet"/>
      <w:lvlText w:val=""/>
      <w:lvlJc w:val="left"/>
      <w:pPr>
        <w:ind w:left="6840" w:hanging="360"/>
      </w:pPr>
      <w:rPr>
        <w:rFonts w:ascii="Wingdings" w:hAnsi="Wingdings" w:hint="default"/>
      </w:rPr>
    </w:lvl>
  </w:abstractNum>
  <w:abstractNum w:abstractNumId="3" w15:restartNumberingAfterBreak="0">
    <w:nsid w:val="6267544C"/>
    <w:multiLevelType w:val="hybridMultilevel"/>
    <w:tmpl w:val="71F083C2"/>
    <w:lvl w:ilvl="0" w:tplc="77C66366">
      <w:start w:val="1"/>
      <w:numFmt w:val="bullet"/>
      <w:lvlText w:val=""/>
      <w:lvlJc w:val="left"/>
      <w:pPr>
        <w:ind w:left="720" w:hanging="360"/>
      </w:pPr>
      <w:rPr>
        <w:rFonts w:ascii="Symbol" w:hAnsi="Symbol" w:hint="default"/>
      </w:rPr>
    </w:lvl>
    <w:lvl w:ilvl="1" w:tplc="C248EC36" w:tentative="1">
      <w:start w:val="1"/>
      <w:numFmt w:val="bullet"/>
      <w:lvlText w:val="o"/>
      <w:lvlJc w:val="left"/>
      <w:pPr>
        <w:ind w:left="1440" w:hanging="360"/>
      </w:pPr>
      <w:rPr>
        <w:rFonts w:ascii="Courier New" w:hAnsi="Courier New" w:cs="Courier New" w:hint="default"/>
      </w:rPr>
    </w:lvl>
    <w:lvl w:ilvl="2" w:tplc="8C365E3E" w:tentative="1">
      <w:start w:val="1"/>
      <w:numFmt w:val="bullet"/>
      <w:lvlText w:val=""/>
      <w:lvlJc w:val="left"/>
      <w:pPr>
        <w:ind w:left="2160" w:hanging="360"/>
      </w:pPr>
      <w:rPr>
        <w:rFonts w:ascii="Wingdings" w:hAnsi="Wingdings" w:hint="default"/>
      </w:rPr>
    </w:lvl>
    <w:lvl w:ilvl="3" w:tplc="D7161C24" w:tentative="1">
      <w:start w:val="1"/>
      <w:numFmt w:val="bullet"/>
      <w:lvlText w:val=""/>
      <w:lvlJc w:val="left"/>
      <w:pPr>
        <w:ind w:left="2880" w:hanging="360"/>
      </w:pPr>
      <w:rPr>
        <w:rFonts w:ascii="Symbol" w:hAnsi="Symbol" w:hint="default"/>
      </w:rPr>
    </w:lvl>
    <w:lvl w:ilvl="4" w:tplc="16448730" w:tentative="1">
      <w:start w:val="1"/>
      <w:numFmt w:val="bullet"/>
      <w:lvlText w:val="o"/>
      <w:lvlJc w:val="left"/>
      <w:pPr>
        <w:ind w:left="3600" w:hanging="360"/>
      </w:pPr>
      <w:rPr>
        <w:rFonts w:ascii="Courier New" w:hAnsi="Courier New" w:cs="Courier New" w:hint="default"/>
      </w:rPr>
    </w:lvl>
    <w:lvl w:ilvl="5" w:tplc="B2E205EE" w:tentative="1">
      <w:start w:val="1"/>
      <w:numFmt w:val="bullet"/>
      <w:lvlText w:val=""/>
      <w:lvlJc w:val="left"/>
      <w:pPr>
        <w:ind w:left="4320" w:hanging="360"/>
      </w:pPr>
      <w:rPr>
        <w:rFonts w:ascii="Wingdings" w:hAnsi="Wingdings" w:hint="default"/>
      </w:rPr>
    </w:lvl>
    <w:lvl w:ilvl="6" w:tplc="E766E9C8" w:tentative="1">
      <w:start w:val="1"/>
      <w:numFmt w:val="bullet"/>
      <w:lvlText w:val=""/>
      <w:lvlJc w:val="left"/>
      <w:pPr>
        <w:ind w:left="5040" w:hanging="360"/>
      </w:pPr>
      <w:rPr>
        <w:rFonts w:ascii="Symbol" w:hAnsi="Symbol" w:hint="default"/>
      </w:rPr>
    </w:lvl>
    <w:lvl w:ilvl="7" w:tplc="52F6F8DA" w:tentative="1">
      <w:start w:val="1"/>
      <w:numFmt w:val="bullet"/>
      <w:lvlText w:val="o"/>
      <w:lvlJc w:val="left"/>
      <w:pPr>
        <w:ind w:left="5760" w:hanging="360"/>
      </w:pPr>
      <w:rPr>
        <w:rFonts w:ascii="Courier New" w:hAnsi="Courier New" w:cs="Courier New" w:hint="default"/>
      </w:rPr>
    </w:lvl>
    <w:lvl w:ilvl="8" w:tplc="6032EF20" w:tentative="1">
      <w:start w:val="1"/>
      <w:numFmt w:val="bullet"/>
      <w:lvlText w:val=""/>
      <w:lvlJc w:val="left"/>
      <w:pPr>
        <w:ind w:left="6480" w:hanging="360"/>
      </w:pPr>
      <w:rPr>
        <w:rFonts w:ascii="Wingdings" w:hAnsi="Wingdings" w:hint="default"/>
      </w:rPr>
    </w:lvl>
  </w:abstractNum>
  <w:abstractNum w:abstractNumId="4" w15:restartNumberingAfterBreak="0">
    <w:nsid w:val="703040FE"/>
    <w:multiLevelType w:val="hybridMultilevel"/>
    <w:tmpl w:val="284EA7B0"/>
    <w:lvl w:ilvl="0" w:tplc="F20422DC">
      <w:start w:val="1"/>
      <w:numFmt w:val="bullet"/>
      <w:lvlText w:val=""/>
      <w:lvlJc w:val="left"/>
      <w:pPr>
        <w:ind w:left="1080" w:hanging="360"/>
      </w:pPr>
      <w:rPr>
        <w:rFonts w:ascii="Symbol" w:hAnsi="Symbol" w:hint="default"/>
      </w:rPr>
    </w:lvl>
    <w:lvl w:ilvl="1" w:tplc="C3C4B2B8" w:tentative="1">
      <w:start w:val="1"/>
      <w:numFmt w:val="bullet"/>
      <w:lvlText w:val="o"/>
      <w:lvlJc w:val="left"/>
      <w:pPr>
        <w:ind w:left="1800" w:hanging="360"/>
      </w:pPr>
      <w:rPr>
        <w:rFonts w:ascii="Courier New" w:hAnsi="Courier New" w:cs="Courier New" w:hint="default"/>
      </w:rPr>
    </w:lvl>
    <w:lvl w:ilvl="2" w:tplc="B396FBB4" w:tentative="1">
      <w:start w:val="1"/>
      <w:numFmt w:val="bullet"/>
      <w:lvlText w:val=""/>
      <w:lvlJc w:val="left"/>
      <w:pPr>
        <w:ind w:left="2520" w:hanging="360"/>
      </w:pPr>
      <w:rPr>
        <w:rFonts w:ascii="Wingdings" w:hAnsi="Wingdings" w:hint="default"/>
      </w:rPr>
    </w:lvl>
    <w:lvl w:ilvl="3" w:tplc="CD5E4CC2" w:tentative="1">
      <w:start w:val="1"/>
      <w:numFmt w:val="bullet"/>
      <w:lvlText w:val=""/>
      <w:lvlJc w:val="left"/>
      <w:pPr>
        <w:ind w:left="3240" w:hanging="360"/>
      </w:pPr>
      <w:rPr>
        <w:rFonts w:ascii="Symbol" w:hAnsi="Symbol" w:hint="default"/>
      </w:rPr>
    </w:lvl>
    <w:lvl w:ilvl="4" w:tplc="43A69A50" w:tentative="1">
      <w:start w:val="1"/>
      <w:numFmt w:val="bullet"/>
      <w:lvlText w:val="o"/>
      <w:lvlJc w:val="left"/>
      <w:pPr>
        <w:ind w:left="3960" w:hanging="360"/>
      </w:pPr>
      <w:rPr>
        <w:rFonts w:ascii="Courier New" w:hAnsi="Courier New" w:cs="Courier New" w:hint="default"/>
      </w:rPr>
    </w:lvl>
    <w:lvl w:ilvl="5" w:tplc="78D4DCBC" w:tentative="1">
      <w:start w:val="1"/>
      <w:numFmt w:val="bullet"/>
      <w:lvlText w:val=""/>
      <w:lvlJc w:val="left"/>
      <w:pPr>
        <w:ind w:left="4680" w:hanging="360"/>
      </w:pPr>
      <w:rPr>
        <w:rFonts w:ascii="Wingdings" w:hAnsi="Wingdings" w:hint="default"/>
      </w:rPr>
    </w:lvl>
    <w:lvl w:ilvl="6" w:tplc="A6745F4E" w:tentative="1">
      <w:start w:val="1"/>
      <w:numFmt w:val="bullet"/>
      <w:lvlText w:val=""/>
      <w:lvlJc w:val="left"/>
      <w:pPr>
        <w:ind w:left="5400" w:hanging="360"/>
      </w:pPr>
      <w:rPr>
        <w:rFonts w:ascii="Symbol" w:hAnsi="Symbol" w:hint="default"/>
      </w:rPr>
    </w:lvl>
    <w:lvl w:ilvl="7" w:tplc="A87C06A2" w:tentative="1">
      <w:start w:val="1"/>
      <w:numFmt w:val="bullet"/>
      <w:lvlText w:val="o"/>
      <w:lvlJc w:val="left"/>
      <w:pPr>
        <w:ind w:left="6120" w:hanging="360"/>
      </w:pPr>
      <w:rPr>
        <w:rFonts w:ascii="Courier New" w:hAnsi="Courier New" w:cs="Courier New" w:hint="default"/>
      </w:rPr>
    </w:lvl>
    <w:lvl w:ilvl="8" w:tplc="E820A410"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xMzEytTS1tDQyMTBQ0lEKTi0uzszPAykwqgUAs7HmXiwAAAA="/>
  </w:docVars>
  <w:rsids>
    <w:rsidRoot w:val="000043DE"/>
    <w:rsid w:val="000043DE"/>
    <w:rsid w:val="000561BB"/>
    <w:rsid w:val="000C559D"/>
    <w:rsid w:val="000F1F85"/>
    <w:rsid w:val="0010391C"/>
    <w:rsid w:val="0026508D"/>
    <w:rsid w:val="0033385B"/>
    <w:rsid w:val="003F317B"/>
    <w:rsid w:val="004321D1"/>
    <w:rsid w:val="0056607B"/>
    <w:rsid w:val="005D1B66"/>
    <w:rsid w:val="00633B84"/>
    <w:rsid w:val="006907C8"/>
    <w:rsid w:val="007265A6"/>
    <w:rsid w:val="00760ACB"/>
    <w:rsid w:val="00765896"/>
    <w:rsid w:val="00796978"/>
    <w:rsid w:val="00861EA1"/>
    <w:rsid w:val="00A7478F"/>
    <w:rsid w:val="00AC35D7"/>
    <w:rsid w:val="00B121DD"/>
    <w:rsid w:val="00B23D49"/>
    <w:rsid w:val="00BC74B4"/>
    <w:rsid w:val="00C84358"/>
    <w:rsid w:val="00D0255C"/>
    <w:rsid w:val="00D72C56"/>
    <w:rsid w:val="00DA2F0A"/>
    <w:rsid w:val="00E55EE4"/>
    <w:rsid w:val="00F34EBC"/>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E021"/>
  <w15:docId w15:val="{568E0D1E-8DF1-48D9-9B56-6207245F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rmalWeb">
    <w:name w:val="Normal (Web)"/>
    <w:basedOn w:val="Normal"/>
    <w:uiPriority w:val="99"/>
    <w:semiHidden/>
    <w:unhideWhenUsed/>
    <w:rsid w:val="005D1B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formula">
    <w:name w:val="formula"/>
    <w:basedOn w:val="DefaultParagraphFont"/>
    <w:rsid w:val="005D1B66"/>
  </w:style>
  <w:style w:type="paragraph" w:styleId="ListParagraph">
    <w:name w:val="List Paragraph"/>
    <w:basedOn w:val="Normal"/>
    <w:uiPriority w:val="34"/>
    <w:qFormat/>
    <w:rsid w:val="0056607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Footer">
    <w:name w:val="footer"/>
    <w:basedOn w:val="Normal"/>
    <w:link w:val="FooterChar"/>
    <w:uiPriority w:val="99"/>
    <w:unhideWhenUsed/>
    <w:rsid w:val="0056607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56607B"/>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2.png"/></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2.png"/></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image" Target="../media/image2.png"/></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image" Target="../media/image2.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600" b="0" i="0" u="none" strike="noStrike">
                <a:solidFill>
                  <a:srgbClr val="808080"/>
                </a:solidFill>
                <a:latin typeface="Calibri Light"/>
              </a:defRPr>
            </a:pPr>
            <a:r>
              <a:rPr lang="en-US" sz="1600" b="0" i="0" u="none" strike="noStrike">
                <a:solidFill>
                  <a:srgbClr val="808080"/>
                </a:solidFill>
                <a:latin typeface="Calibri Light"/>
              </a:rPr>
              <a:t>Short-term Solvency</a:t>
            </a:r>
          </a:p>
        </c:rich>
      </c:tx>
      <c:layout>
        <c:manualLayout>
          <c:xMode val="edge"/>
          <c:yMode val="edge"/>
          <c:x val="0.22318099999999999"/>
          <c:y val="0"/>
          <c:w val="0.33091100000000001"/>
          <c:h val="0.109252"/>
        </c:manualLayout>
      </c:layout>
      <c:overlay val="1"/>
      <c:spPr>
        <a:noFill/>
        <a:effectLst/>
      </c:spPr>
    </c:title>
    <c:autoTitleDeleted val="0"/>
    <c:plotArea>
      <c:layout>
        <c:manualLayout>
          <c:layoutTarget val="inner"/>
          <c:xMode val="edge"/>
          <c:yMode val="edge"/>
          <c:x val="0.10037500000000001"/>
          <c:y val="0.109252"/>
          <c:w val="0.67448600000000003"/>
          <c:h val="0.826542"/>
        </c:manualLayout>
      </c:layout>
      <c:lineChart>
        <c:grouping val="standard"/>
        <c:varyColors val="0"/>
        <c:ser>
          <c:idx val="0"/>
          <c:order val="0"/>
          <c:tx>
            <c:strRef>
              <c:f>Sheet1!$B$1</c:f>
              <c:strCache>
                <c:ptCount val="1"/>
                <c:pt idx="0">
                  <c:v>Current ratio</c:v>
                </c:pt>
              </c:strCache>
            </c:strRef>
          </c:tx>
          <c:spPr>
            <a:ln w="22225" cap="rnd">
              <a:solidFill>
                <a:schemeClr val="accent1"/>
              </a:solidFill>
              <a:round/>
            </a:ln>
            <a:effectLst/>
          </c:spPr>
          <c:marker>
            <c:symbol val="none"/>
          </c:marker>
          <c:cat>
            <c:strRef>
              <c:f>Sheet1!$A$2:$A$4</c:f>
              <c:strCache>
                <c:ptCount val="3"/>
                <c:pt idx="0">
                  <c:v>2013</c:v>
                </c:pt>
                <c:pt idx="1">
                  <c:v>2014</c:v>
                </c:pt>
                <c:pt idx="2">
                  <c:v>2015</c:v>
                </c:pt>
              </c:strCache>
            </c:strRef>
          </c:cat>
          <c:val>
            <c:numRef>
              <c:f>Sheet1!$B$2:$B$4</c:f>
              <c:numCache>
                <c:formatCode>General</c:formatCode>
                <c:ptCount val="3"/>
                <c:pt idx="0">
                  <c:v>1.2433069999999999</c:v>
                </c:pt>
                <c:pt idx="1">
                  <c:v>0.68895499999999998</c:v>
                </c:pt>
                <c:pt idx="2">
                  <c:v>0.71165400000000001</c:v>
                </c:pt>
              </c:numCache>
            </c:numRef>
          </c:val>
          <c:smooth val="0"/>
          <c:extLst>
            <c:ext xmlns:c16="http://schemas.microsoft.com/office/drawing/2014/chart" uri="{C3380CC4-5D6E-409C-BE32-E72D297353CC}">
              <c16:uniqueId val="{00000000-BE7E-42AF-AE9E-BCB55B8DF0C7}"/>
            </c:ext>
          </c:extLst>
        </c:ser>
        <c:ser>
          <c:idx val="1"/>
          <c:order val="1"/>
          <c:tx>
            <c:strRef>
              <c:f>Sheet1!$C$1</c:f>
              <c:strCache>
                <c:ptCount val="1"/>
                <c:pt idx="0">
                  <c:v>Quick ratio</c:v>
                </c:pt>
              </c:strCache>
            </c:strRef>
          </c:tx>
          <c:spPr>
            <a:ln w="22225" cap="rnd">
              <a:solidFill>
                <a:schemeClr val="accent2"/>
              </a:solidFill>
              <a:round/>
            </a:ln>
            <a:effectLst/>
          </c:spPr>
          <c:marker>
            <c:symbol val="none"/>
          </c:marker>
          <c:cat>
            <c:strRef>
              <c:f>Sheet1!$A$2:$A$4</c:f>
              <c:strCache>
                <c:ptCount val="3"/>
                <c:pt idx="0">
                  <c:v>2013</c:v>
                </c:pt>
                <c:pt idx="1">
                  <c:v>2014</c:v>
                </c:pt>
                <c:pt idx="2">
                  <c:v>2015</c:v>
                </c:pt>
              </c:strCache>
            </c:strRef>
          </c:cat>
          <c:val>
            <c:numRef>
              <c:f>Sheet1!$C$2:$C$4</c:f>
              <c:numCache>
                <c:formatCode>General</c:formatCode>
                <c:ptCount val="3"/>
                <c:pt idx="0">
                  <c:v>0.85922299999999996</c:v>
                </c:pt>
                <c:pt idx="1">
                  <c:v>0.418215</c:v>
                </c:pt>
                <c:pt idx="2">
                  <c:v>0.46416600000000002</c:v>
                </c:pt>
              </c:numCache>
            </c:numRef>
          </c:val>
          <c:smooth val="0"/>
          <c:extLst>
            <c:ext xmlns:c16="http://schemas.microsoft.com/office/drawing/2014/chart" uri="{C3380CC4-5D6E-409C-BE32-E72D297353CC}">
              <c16:uniqueId val="{00000001-BE7E-42AF-AE9E-BCB55B8DF0C7}"/>
            </c:ext>
          </c:extLst>
        </c:ser>
        <c:ser>
          <c:idx val="2"/>
          <c:order val="2"/>
          <c:tx>
            <c:strRef>
              <c:f>Sheet1!$D$1</c:f>
              <c:strCache>
                <c:ptCount val="1"/>
                <c:pt idx="0">
                  <c:v>Cash ratio</c:v>
                </c:pt>
              </c:strCache>
            </c:strRef>
          </c:tx>
          <c:spPr>
            <a:ln w="22225" cap="rnd">
              <a:solidFill>
                <a:schemeClr val="accent3"/>
              </a:solidFill>
              <a:round/>
            </a:ln>
            <a:effectLst/>
          </c:spPr>
          <c:marker>
            <c:symbol val="none"/>
          </c:marker>
          <c:cat>
            <c:strRef>
              <c:f>Sheet1!$A$2:$A$4</c:f>
              <c:strCache>
                <c:ptCount val="3"/>
                <c:pt idx="0">
                  <c:v>2013</c:v>
                </c:pt>
                <c:pt idx="1">
                  <c:v>2014</c:v>
                </c:pt>
                <c:pt idx="2">
                  <c:v>2015</c:v>
                </c:pt>
              </c:strCache>
            </c:strRef>
          </c:cat>
          <c:val>
            <c:numRef>
              <c:f>Sheet1!$D$2:$D$4</c:f>
              <c:numCache>
                <c:formatCode>General</c:formatCode>
                <c:ptCount val="3"/>
                <c:pt idx="0">
                  <c:v>0.45256000000000002</c:v>
                </c:pt>
                <c:pt idx="1">
                  <c:v>0.16855400000000001</c:v>
                </c:pt>
                <c:pt idx="2">
                  <c:v>0.24789</c:v>
                </c:pt>
              </c:numCache>
            </c:numRef>
          </c:val>
          <c:smooth val="0"/>
          <c:extLst>
            <c:ext xmlns:c16="http://schemas.microsoft.com/office/drawing/2014/chart" uri="{C3380CC4-5D6E-409C-BE32-E72D297353CC}">
              <c16:uniqueId val="{00000002-BE7E-42AF-AE9E-BCB55B8DF0C7}"/>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numFmt formatCode="General" sourceLinked="0"/>
        <c:majorTickMark val="none"/>
        <c:minorTickMark val="none"/>
        <c:tickLblPos val="low"/>
        <c:spPr>
          <a:ln w="12700">
            <a:solidFill>
              <a:srgbClr val="D9D9D9"/>
            </a:solidFill>
            <a:round/>
          </a:ln>
        </c:spPr>
        <c:txPr>
          <a:bodyPr rot="0"/>
          <a:lstStyle/>
          <a:p>
            <a:pPr>
              <a:defRPr sz="900" b="0" i="0" u="none" strike="noStrike">
                <a:solidFill>
                  <a:srgbClr val="595959"/>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a:solidFill>
                <a:srgbClr val="D9D9D9">
                  <a:alpha val="54000"/>
                </a:srgbClr>
              </a:solidFill>
              <a:round/>
            </a:ln>
          </c:spPr>
        </c:majorGridlines>
        <c:title>
          <c:tx>
            <c:rich>
              <a:bodyPr rot="-5400000"/>
              <a:lstStyle/>
              <a:p>
                <a:pPr>
                  <a:defRPr sz="900" b="1" i="0" u="none" strike="noStrike">
                    <a:solidFill>
                      <a:srgbClr val="595959"/>
                    </a:solidFill>
                    <a:latin typeface="Calibri"/>
                  </a:defRPr>
                </a:pPr>
                <a:r>
                  <a:rPr lang="en-US" sz="900" b="1" i="0" u="none" strike="noStrike">
                    <a:solidFill>
                      <a:srgbClr val="595959"/>
                    </a:solidFill>
                    <a:latin typeface="Calibri"/>
                  </a:rPr>
                  <a:t>Ratio</a:t>
                </a:r>
              </a:p>
            </c:rich>
          </c:tx>
          <c:overlay val="1"/>
        </c:title>
        <c:numFmt formatCode="0.00" sourceLinked="0"/>
        <c:majorTickMark val="none"/>
        <c:minorTickMark val="none"/>
        <c:tickLblPos val="nextTo"/>
        <c:spPr>
          <a:ln w="12700">
            <a:noFill/>
            <a:round/>
          </a:ln>
        </c:spPr>
        <c:txPr>
          <a:bodyPr rot="0"/>
          <a:lstStyle/>
          <a:p>
            <a:pPr>
              <a:defRPr sz="900" b="0" i="0" u="none" strike="noStrike">
                <a:solidFill>
                  <a:srgbClr val="595959"/>
                </a:solidFill>
                <a:latin typeface="Calibri"/>
              </a:defRPr>
            </a:pPr>
            <a:endParaRPr lang="en-US"/>
          </a:p>
        </c:txPr>
        <c:crossAx val="2094734552"/>
        <c:crosses val="autoZero"/>
        <c:crossBetween val="between"/>
        <c:majorUnit val="0.35"/>
        <c:minorUnit val="0.17499999999999999"/>
      </c:valAx>
      <c:spPr>
        <a:blipFill rotWithShape="1">
          <a:blip xmlns:r="http://schemas.openxmlformats.org/officeDocument/2006/relationships" r:embed="rId1"/>
          <a:tile tx="0" ty="0" sx="100000" sy="100000" flip="none" algn="tl"/>
        </a:blipFill>
        <a:ln w="12700">
          <a:noFill/>
          <a:miter lim="400000"/>
        </a:ln>
        <a:effectLst/>
      </c:spPr>
    </c:plotArea>
    <c:legend>
      <c:legendPos val="r"/>
      <c:layout>
        <c:manualLayout>
          <c:xMode val="edge"/>
          <c:yMode val="edge"/>
          <c:x val="0.804728"/>
          <c:y val="0.40272200000000002"/>
          <c:w val="0.195272"/>
          <c:h val="0.138019"/>
        </c:manualLayout>
      </c:layout>
      <c:overlay val="1"/>
      <c:spPr>
        <a:noFill/>
        <a:ln w="12700">
          <a:noFill/>
          <a:miter lim="400000"/>
        </a:ln>
        <a:effectLst/>
      </c:spPr>
      <c:txPr>
        <a:bodyPr rot="0"/>
        <a:lstStyle/>
        <a:p>
          <a:pPr>
            <a:defRPr sz="900" b="0" i="0" u="none" strike="noStrike">
              <a:solidFill>
                <a:srgbClr val="595959"/>
              </a:solidFill>
              <a:latin typeface="Calibri"/>
            </a:defRPr>
          </a:pPr>
          <a:endParaRPr lang="en-US"/>
        </a:p>
      </c:txPr>
    </c:legend>
    <c:plotVisOnly val="1"/>
    <c:dispBlanksAs val="gap"/>
    <c:showDLblsOverMax val="1"/>
  </c:chart>
  <c:spPr>
    <a:solidFill>
      <a:srgbClr val="FFFFFF"/>
    </a:solidFill>
    <a:ln w="12700">
      <a:solidFill>
        <a:srgbClr val="D9D9D9"/>
      </a:solidFill>
      <a:round/>
    </a:ln>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600" b="0" i="0" u="none" strike="noStrike">
                <a:solidFill>
                  <a:srgbClr val="808080"/>
                </a:solidFill>
                <a:latin typeface="Calibri Light"/>
              </a:defRPr>
            </a:pPr>
            <a:r>
              <a:rPr lang="en-US" sz="1600" b="0" i="0" u="none" strike="noStrike">
                <a:solidFill>
                  <a:srgbClr val="808080"/>
                </a:solidFill>
                <a:latin typeface="Calibri Light"/>
              </a:rPr>
              <a:t>Asset Utilization</a:t>
            </a:r>
          </a:p>
        </c:rich>
      </c:tx>
      <c:layout>
        <c:manualLayout>
          <c:xMode val="edge"/>
          <c:yMode val="edge"/>
          <c:x val="0.25279600000000002"/>
          <c:y val="0"/>
          <c:w val="0.24312400000000001"/>
          <c:h val="0.116743"/>
        </c:manualLayout>
      </c:layout>
      <c:overlay val="1"/>
      <c:spPr>
        <a:noFill/>
        <a:effectLst/>
      </c:spPr>
    </c:title>
    <c:autoTitleDeleted val="0"/>
    <c:plotArea>
      <c:layout>
        <c:manualLayout>
          <c:layoutTarget val="inner"/>
          <c:xMode val="edge"/>
          <c:yMode val="edge"/>
          <c:x val="9.33311E-2"/>
          <c:y val="0.116743"/>
          <c:w val="0.653142"/>
          <c:h val="0.81550500000000004"/>
        </c:manualLayout>
      </c:layout>
      <c:lineChart>
        <c:grouping val="standard"/>
        <c:varyColors val="0"/>
        <c:ser>
          <c:idx val="0"/>
          <c:order val="0"/>
          <c:tx>
            <c:strRef>
              <c:f>Sheet1!$B$1</c:f>
              <c:strCache>
                <c:ptCount val="1"/>
                <c:pt idx="0">
                  <c:v>Asset turnover ratio</c:v>
                </c:pt>
              </c:strCache>
            </c:strRef>
          </c:tx>
          <c:spPr>
            <a:ln w="22225" cap="rnd">
              <a:solidFill>
                <a:schemeClr val="accent2"/>
              </a:solidFill>
              <a:round/>
            </a:ln>
            <a:effectLst/>
          </c:spPr>
          <c:marker>
            <c:symbol val="none"/>
          </c:marker>
          <c:cat>
            <c:strRef>
              <c:f>Sheet1!$A$2:$A$4</c:f>
              <c:strCache>
                <c:ptCount val="3"/>
                <c:pt idx="0">
                  <c:v>2013</c:v>
                </c:pt>
                <c:pt idx="1">
                  <c:v>2014</c:v>
                </c:pt>
                <c:pt idx="2">
                  <c:v>2015</c:v>
                </c:pt>
              </c:strCache>
            </c:strRef>
          </c:cat>
          <c:val>
            <c:numRef>
              <c:f>Sheet1!$B$2:$B$4</c:f>
              <c:numCache>
                <c:formatCode>General</c:formatCode>
                <c:ptCount val="3"/>
                <c:pt idx="0">
                  <c:v>0.71917299999999995</c:v>
                </c:pt>
                <c:pt idx="1">
                  <c:v>0.72337799999999997</c:v>
                </c:pt>
                <c:pt idx="2">
                  <c:v>0.68435199999999996</c:v>
                </c:pt>
              </c:numCache>
            </c:numRef>
          </c:val>
          <c:smooth val="0"/>
          <c:extLst>
            <c:ext xmlns:c16="http://schemas.microsoft.com/office/drawing/2014/chart" uri="{C3380CC4-5D6E-409C-BE32-E72D297353CC}">
              <c16:uniqueId val="{00000000-9BD9-45B3-ACEA-D730A0726490}"/>
            </c:ext>
          </c:extLst>
        </c:ser>
        <c:ser>
          <c:idx val="1"/>
          <c:order val="1"/>
          <c:tx>
            <c:strRef>
              <c:f>Sheet1!$C$1</c:f>
              <c:strCache>
                <c:ptCount val="1"/>
                <c:pt idx="0">
                  <c:v>Inventory turnover ratio</c:v>
                </c:pt>
              </c:strCache>
            </c:strRef>
          </c:tx>
          <c:spPr>
            <a:ln w="22225" cap="rnd">
              <a:solidFill>
                <a:schemeClr val="accent3"/>
              </a:solidFill>
              <a:round/>
            </a:ln>
            <a:effectLst/>
          </c:spPr>
          <c:marker>
            <c:symbol val="none"/>
          </c:marker>
          <c:cat>
            <c:strRef>
              <c:f>Sheet1!$A$2:$A$4</c:f>
              <c:strCache>
                <c:ptCount val="3"/>
                <c:pt idx="0">
                  <c:v>2013</c:v>
                </c:pt>
                <c:pt idx="1">
                  <c:v>2014</c:v>
                </c:pt>
                <c:pt idx="2">
                  <c:v>2015</c:v>
                </c:pt>
              </c:strCache>
            </c:strRef>
          </c:cat>
          <c:val>
            <c:numRef>
              <c:f>Sheet1!$C$2:$C$4</c:f>
              <c:numCache>
                <c:formatCode>General</c:formatCode>
                <c:ptCount val="3"/>
                <c:pt idx="0">
                  <c:v>2.4458769999999999</c:v>
                </c:pt>
                <c:pt idx="1">
                  <c:v>2.024187</c:v>
                </c:pt>
                <c:pt idx="2">
                  <c:v>1.950515</c:v>
                </c:pt>
              </c:numCache>
            </c:numRef>
          </c:val>
          <c:smooth val="0"/>
          <c:extLst>
            <c:ext xmlns:c16="http://schemas.microsoft.com/office/drawing/2014/chart" uri="{C3380CC4-5D6E-409C-BE32-E72D297353CC}">
              <c16:uniqueId val="{00000001-9BD9-45B3-ACEA-D730A0726490}"/>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numFmt formatCode="General" sourceLinked="0"/>
        <c:majorTickMark val="none"/>
        <c:minorTickMark val="none"/>
        <c:tickLblPos val="low"/>
        <c:spPr>
          <a:ln w="12700">
            <a:solidFill>
              <a:srgbClr val="D9D9D9"/>
            </a:solidFill>
            <a:round/>
          </a:ln>
        </c:spPr>
        <c:txPr>
          <a:bodyPr rot="0"/>
          <a:lstStyle/>
          <a:p>
            <a:pPr>
              <a:defRPr sz="900" b="0" i="0" u="none" strike="noStrike">
                <a:solidFill>
                  <a:srgbClr val="595959"/>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a:solidFill>
                <a:srgbClr val="D9D9D9">
                  <a:alpha val="54000"/>
                </a:srgbClr>
              </a:solidFill>
              <a:round/>
            </a:ln>
          </c:spPr>
        </c:majorGridlines>
        <c:title>
          <c:tx>
            <c:rich>
              <a:bodyPr rot="-5400000"/>
              <a:lstStyle/>
              <a:p>
                <a:pPr>
                  <a:defRPr sz="900" b="1" i="0" u="none" strike="noStrike">
                    <a:solidFill>
                      <a:srgbClr val="595959"/>
                    </a:solidFill>
                    <a:latin typeface="Calibri"/>
                  </a:defRPr>
                </a:pPr>
                <a:r>
                  <a:rPr lang="en-US" sz="900" b="1" i="0" u="none" strike="noStrike">
                    <a:solidFill>
                      <a:srgbClr val="595959"/>
                    </a:solidFill>
                    <a:latin typeface="Calibri"/>
                  </a:rPr>
                  <a:t>Ratio</a:t>
                </a:r>
              </a:p>
            </c:rich>
          </c:tx>
          <c:overlay val="1"/>
        </c:title>
        <c:numFmt formatCode="0.00" sourceLinked="0"/>
        <c:majorTickMark val="none"/>
        <c:minorTickMark val="none"/>
        <c:tickLblPos val="nextTo"/>
        <c:spPr>
          <a:ln w="12700">
            <a:noFill/>
            <a:round/>
          </a:ln>
        </c:spPr>
        <c:txPr>
          <a:bodyPr rot="0"/>
          <a:lstStyle/>
          <a:p>
            <a:pPr>
              <a:defRPr sz="900" b="0" i="0" u="none" strike="noStrike">
                <a:solidFill>
                  <a:srgbClr val="595959"/>
                </a:solidFill>
                <a:latin typeface="Calibri"/>
              </a:defRPr>
            </a:pPr>
            <a:endParaRPr lang="en-US"/>
          </a:p>
        </c:txPr>
        <c:crossAx val="2094734552"/>
        <c:crosses val="autoZero"/>
        <c:crossBetween val="between"/>
        <c:majorUnit val="0.65"/>
        <c:minorUnit val="0.32500000000000001"/>
      </c:valAx>
      <c:spPr>
        <a:blipFill rotWithShape="1">
          <a:blip xmlns:r="http://schemas.openxmlformats.org/officeDocument/2006/relationships" r:embed="rId1"/>
          <a:tile tx="0" ty="0" sx="100000" sy="100000" flip="none" algn="tl"/>
        </a:blipFill>
        <a:ln w="12700">
          <a:noFill/>
          <a:miter lim="400000"/>
        </a:ln>
        <a:effectLst/>
      </c:spPr>
    </c:plotArea>
    <c:legend>
      <c:legendPos val="r"/>
      <c:layout>
        <c:manualLayout>
          <c:xMode val="edge"/>
          <c:yMode val="edge"/>
          <c:x val="0.74364799999999998"/>
          <c:y val="0.46981200000000001"/>
          <c:w val="0.25635200000000002"/>
          <c:h val="0.105513"/>
        </c:manualLayout>
      </c:layout>
      <c:overlay val="1"/>
      <c:spPr>
        <a:noFill/>
        <a:ln w="12700">
          <a:noFill/>
          <a:miter lim="400000"/>
        </a:ln>
        <a:effectLst/>
      </c:spPr>
      <c:txPr>
        <a:bodyPr rot="0"/>
        <a:lstStyle/>
        <a:p>
          <a:pPr>
            <a:defRPr sz="900" b="0" i="0" u="none" strike="noStrike">
              <a:solidFill>
                <a:srgbClr val="595959"/>
              </a:solidFill>
              <a:latin typeface="Calibri"/>
            </a:defRPr>
          </a:pPr>
          <a:endParaRPr lang="en-US"/>
        </a:p>
      </c:txPr>
    </c:legend>
    <c:plotVisOnly val="1"/>
    <c:dispBlanksAs val="gap"/>
    <c:showDLblsOverMax val="1"/>
  </c:chart>
  <c:spPr>
    <a:solidFill>
      <a:srgbClr val="FFFFFF"/>
    </a:solidFill>
    <a:ln w="12700">
      <a:solidFill>
        <a:srgbClr val="D9D9D9"/>
      </a:solidFill>
      <a:round/>
    </a:ln>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600" b="0" i="0" u="none" strike="noStrike">
                <a:solidFill>
                  <a:srgbClr val="808080"/>
                </a:solidFill>
                <a:latin typeface="Calibri Light"/>
              </a:defRPr>
            </a:pPr>
            <a:r>
              <a:rPr lang="en-US" sz="1600" b="0" i="0" u="none" strike="noStrike">
                <a:solidFill>
                  <a:srgbClr val="808080"/>
                </a:solidFill>
                <a:latin typeface="Calibri Light"/>
              </a:rPr>
              <a:t>Long-term Solvency Ratio</a:t>
            </a:r>
          </a:p>
        </c:rich>
      </c:tx>
      <c:layout>
        <c:manualLayout>
          <c:xMode val="edge"/>
          <c:yMode val="edge"/>
          <c:x val="0.26585700000000001"/>
          <c:y val="0"/>
          <c:w val="0.46828700000000001"/>
          <c:h val="0.13444600000000001"/>
        </c:manualLayout>
      </c:layout>
      <c:overlay val="1"/>
      <c:spPr>
        <a:noFill/>
        <a:effectLst/>
      </c:spPr>
    </c:title>
    <c:autoTitleDeleted val="0"/>
    <c:plotArea>
      <c:layout>
        <c:manualLayout>
          <c:layoutTarget val="inner"/>
          <c:xMode val="edge"/>
          <c:yMode val="edge"/>
          <c:x val="0.123159"/>
          <c:y val="0.13444600000000001"/>
          <c:w val="0.87184099999999998"/>
          <c:h val="0.69728199999999996"/>
        </c:manualLayout>
      </c:layout>
      <c:lineChart>
        <c:grouping val="standard"/>
        <c:varyColors val="0"/>
        <c:ser>
          <c:idx val="0"/>
          <c:order val="0"/>
          <c:tx>
            <c:strRef>
              <c:f>Sheet1!$B$1</c:f>
              <c:strCache>
                <c:ptCount val="1"/>
                <c:pt idx="0">
                  <c:v>Debt ratio</c:v>
                </c:pt>
              </c:strCache>
            </c:strRef>
          </c:tx>
          <c:spPr>
            <a:ln w="22225" cap="rnd">
              <a:solidFill>
                <a:schemeClr val="accent1"/>
              </a:solidFill>
              <a:round/>
            </a:ln>
            <a:effectLst/>
          </c:spPr>
          <c:marker>
            <c:symbol val="none"/>
          </c:marker>
          <c:cat>
            <c:strRef>
              <c:f>Sheet1!$A$2:$A$4</c:f>
              <c:strCache>
                <c:ptCount val="3"/>
                <c:pt idx="0">
                  <c:v>2013</c:v>
                </c:pt>
                <c:pt idx="1">
                  <c:v>2014</c:v>
                </c:pt>
                <c:pt idx="2">
                  <c:v>2015</c:v>
                </c:pt>
              </c:strCache>
            </c:strRef>
          </c:cat>
          <c:val>
            <c:numRef>
              <c:f>Sheet1!$B$2:$B$4</c:f>
              <c:numCache>
                <c:formatCode>General</c:formatCode>
                <c:ptCount val="3"/>
                <c:pt idx="0">
                  <c:v>0.39222800000000002</c:v>
                </c:pt>
                <c:pt idx="1">
                  <c:v>0.640706</c:v>
                </c:pt>
                <c:pt idx="2">
                  <c:v>0.68111299999999997</c:v>
                </c:pt>
              </c:numCache>
            </c:numRef>
          </c:val>
          <c:smooth val="0"/>
          <c:extLst>
            <c:ext xmlns:c16="http://schemas.microsoft.com/office/drawing/2014/chart" uri="{C3380CC4-5D6E-409C-BE32-E72D297353CC}">
              <c16:uniqueId val="{00000000-67CC-46B8-AC2B-6BEB86AB47E5}"/>
            </c:ext>
          </c:extLst>
        </c:ser>
        <c:ser>
          <c:idx val="1"/>
          <c:order val="1"/>
          <c:tx>
            <c:strRef>
              <c:f>Sheet1!$C$1</c:f>
              <c:strCache>
                <c:ptCount val="1"/>
                <c:pt idx="0">
                  <c:v>Debt to equity ratio</c:v>
                </c:pt>
              </c:strCache>
            </c:strRef>
          </c:tx>
          <c:spPr>
            <a:ln w="22225" cap="rnd">
              <a:solidFill>
                <a:schemeClr val="accent2"/>
              </a:solidFill>
              <a:round/>
            </a:ln>
            <a:effectLst/>
          </c:spPr>
          <c:marker>
            <c:symbol val="none"/>
          </c:marker>
          <c:cat>
            <c:strRef>
              <c:f>Sheet1!$A$2:$A$4</c:f>
              <c:strCache>
                <c:ptCount val="3"/>
                <c:pt idx="0">
                  <c:v>2013</c:v>
                </c:pt>
                <c:pt idx="1">
                  <c:v>2014</c:v>
                </c:pt>
                <c:pt idx="2">
                  <c:v>2015</c:v>
                </c:pt>
              </c:strCache>
            </c:strRef>
          </c:cat>
          <c:val>
            <c:numRef>
              <c:f>Sheet1!$C$2:$C$4</c:f>
              <c:numCache>
                <c:formatCode>General</c:formatCode>
                <c:ptCount val="3"/>
                <c:pt idx="0">
                  <c:v>0.64535399999999998</c:v>
                </c:pt>
                <c:pt idx="1">
                  <c:v>1.7832380000000001</c:v>
                </c:pt>
                <c:pt idx="2">
                  <c:v>2.1359080000000001</c:v>
                </c:pt>
              </c:numCache>
            </c:numRef>
          </c:val>
          <c:smooth val="0"/>
          <c:extLst>
            <c:ext xmlns:c16="http://schemas.microsoft.com/office/drawing/2014/chart" uri="{C3380CC4-5D6E-409C-BE32-E72D297353CC}">
              <c16:uniqueId val="{00000001-67CC-46B8-AC2B-6BEB86AB47E5}"/>
            </c:ext>
          </c:extLst>
        </c:ser>
        <c:ser>
          <c:idx val="2"/>
          <c:order val="2"/>
          <c:tx>
            <c:strRef>
              <c:f>Sheet1!$D$1</c:f>
              <c:strCache>
                <c:ptCount val="1"/>
                <c:pt idx="0">
                  <c:v>Interest coverage ratio</c:v>
                </c:pt>
              </c:strCache>
            </c:strRef>
          </c:tx>
          <c:spPr>
            <a:ln w="22225" cap="rnd">
              <a:solidFill>
                <a:schemeClr val="accent3"/>
              </a:solidFill>
              <a:round/>
            </a:ln>
            <a:effectLst/>
          </c:spPr>
          <c:marker>
            <c:symbol val="none"/>
          </c:marker>
          <c:cat>
            <c:strRef>
              <c:f>Sheet1!$A$2:$A$4</c:f>
              <c:strCache>
                <c:ptCount val="3"/>
                <c:pt idx="0">
                  <c:v>2013</c:v>
                </c:pt>
                <c:pt idx="1">
                  <c:v>2014</c:v>
                </c:pt>
                <c:pt idx="2">
                  <c:v>2015</c:v>
                </c:pt>
              </c:strCache>
            </c:strRef>
          </c:cat>
          <c:val>
            <c:numRef>
              <c:f>Sheet1!$D$2:$D$4</c:f>
              <c:numCache>
                <c:formatCode>General</c:formatCode>
                <c:ptCount val="3"/>
                <c:pt idx="0">
                  <c:v>20.936046999999999</c:v>
                </c:pt>
                <c:pt idx="1">
                  <c:v>16.431452</c:v>
                </c:pt>
                <c:pt idx="2">
                  <c:v>8.3002310000000001</c:v>
                </c:pt>
              </c:numCache>
            </c:numRef>
          </c:val>
          <c:smooth val="0"/>
          <c:extLst>
            <c:ext xmlns:c16="http://schemas.microsoft.com/office/drawing/2014/chart" uri="{C3380CC4-5D6E-409C-BE32-E72D297353CC}">
              <c16:uniqueId val="{00000002-67CC-46B8-AC2B-6BEB86AB47E5}"/>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majorGridlines>
          <c:spPr>
            <a:ln w="12700">
              <a:solidFill>
                <a:srgbClr val="D9D9D9">
                  <a:alpha val="54000"/>
                </a:srgbClr>
              </a:solidFill>
              <a:round/>
            </a:ln>
          </c:spPr>
        </c:majorGridlines>
        <c:minorGridlines>
          <c:spPr>
            <a:ln w="12700">
              <a:solidFill>
                <a:srgbClr val="D9D9D9">
                  <a:alpha val="51000"/>
                </a:srgbClr>
              </a:solidFill>
              <a:round/>
            </a:ln>
          </c:spPr>
        </c:minorGridlines>
        <c:numFmt formatCode="General" sourceLinked="0"/>
        <c:majorTickMark val="none"/>
        <c:minorTickMark val="none"/>
        <c:tickLblPos val="low"/>
        <c:spPr>
          <a:ln w="12700">
            <a:solidFill>
              <a:srgbClr val="D9D9D9"/>
            </a:solidFill>
            <a:round/>
          </a:ln>
        </c:spPr>
        <c:txPr>
          <a:bodyPr rot="0"/>
          <a:lstStyle/>
          <a:p>
            <a:pPr>
              <a:defRPr sz="900" b="0" i="0" u="none" strike="noStrike">
                <a:solidFill>
                  <a:srgbClr val="595959"/>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a:solidFill>
                <a:srgbClr val="D9D9D9">
                  <a:alpha val="54000"/>
                </a:srgbClr>
              </a:solidFill>
              <a:round/>
            </a:ln>
          </c:spPr>
        </c:majorGridlines>
        <c:title>
          <c:tx>
            <c:rich>
              <a:bodyPr rot="-5400000"/>
              <a:lstStyle/>
              <a:p>
                <a:pPr>
                  <a:defRPr sz="900" b="1" i="0" u="none" strike="noStrike">
                    <a:solidFill>
                      <a:srgbClr val="595959"/>
                    </a:solidFill>
                    <a:latin typeface="Calibri"/>
                  </a:defRPr>
                </a:pPr>
                <a:r>
                  <a:rPr lang="en-US" sz="900" b="1" i="0" u="none" strike="noStrike">
                    <a:solidFill>
                      <a:srgbClr val="595959"/>
                    </a:solidFill>
                    <a:latin typeface="Calibri"/>
                  </a:rPr>
                  <a:t>Ratio</a:t>
                </a:r>
              </a:p>
            </c:rich>
          </c:tx>
          <c:overlay val="1"/>
        </c:title>
        <c:numFmt formatCode="0.00" sourceLinked="0"/>
        <c:majorTickMark val="none"/>
        <c:minorTickMark val="none"/>
        <c:tickLblPos val="nextTo"/>
        <c:spPr>
          <a:ln w="12700">
            <a:noFill/>
            <a:round/>
          </a:ln>
        </c:spPr>
        <c:txPr>
          <a:bodyPr rot="0"/>
          <a:lstStyle/>
          <a:p>
            <a:pPr>
              <a:defRPr sz="900" b="0" i="0" u="none" strike="noStrike">
                <a:solidFill>
                  <a:srgbClr val="595959"/>
                </a:solidFill>
                <a:latin typeface="Calibri"/>
              </a:defRPr>
            </a:pPr>
            <a:endParaRPr lang="en-US"/>
          </a:p>
        </c:txPr>
        <c:crossAx val="2094734552"/>
        <c:crosses val="autoZero"/>
        <c:crossBetween val="between"/>
        <c:majorUnit val="7.5"/>
        <c:minorUnit val="3.75"/>
      </c:valAx>
      <c:spPr>
        <a:blipFill rotWithShape="1">
          <a:blip xmlns:r="http://schemas.openxmlformats.org/officeDocument/2006/relationships" r:embed="rId1"/>
          <a:tile tx="0" ty="0" sx="100000" sy="100000" flip="none" algn="tl"/>
        </a:blipFill>
        <a:ln w="12700">
          <a:noFill/>
          <a:miter lim="400000"/>
        </a:ln>
        <a:effectLst/>
      </c:spPr>
    </c:plotArea>
    <c:legend>
      <c:legendPos val="b"/>
      <c:layout>
        <c:manualLayout>
          <c:xMode val="edge"/>
          <c:yMode val="edge"/>
          <c:x val="0.10174900000000001"/>
          <c:y val="0.94113899999999995"/>
          <c:w val="0.79830400000000001"/>
          <c:h val="5.8860700000000002E-2"/>
        </c:manualLayout>
      </c:layout>
      <c:overlay val="1"/>
      <c:spPr>
        <a:noFill/>
        <a:ln w="12700">
          <a:noFill/>
          <a:miter lim="400000"/>
        </a:ln>
        <a:effectLst/>
      </c:spPr>
      <c:txPr>
        <a:bodyPr rot="0"/>
        <a:lstStyle/>
        <a:p>
          <a:pPr>
            <a:defRPr sz="900" b="0" i="0" u="none" strike="noStrike">
              <a:solidFill>
                <a:srgbClr val="595959"/>
              </a:solidFill>
              <a:latin typeface="Calibri"/>
            </a:defRPr>
          </a:pPr>
          <a:endParaRPr lang="en-US"/>
        </a:p>
      </c:txPr>
    </c:legend>
    <c:plotVisOnly val="1"/>
    <c:dispBlanksAs val="gap"/>
    <c:showDLblsOverMax val="1"/>
  </c:chart>
  <c:spPr>
    <a:solidFill>
      <a:srgbClr val="FFFFFF"/>
    </a:solidFill>
    <a:ln w="12700">
      <a:solidFill>
        <a:srgbClr val="D9D9D9"/>
      </a:solidFill>
      <a:round/>
    </a:ln>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600" b="0" i="0" u="none" strike="noStrike">
                <a:solidFill>
                  <a:srgbClr val="808080"/>
                </a:solidFill>
                <a:latin typeface="Calibri Light"/>
              </a:defRPr>
            </a:pPr>
            <a:r>
              <a:rPr lang="en-US" sz="1600" b="0" i="0" u="none" strike="noStrike">
                <a:solidFill>
                  <a:srgbClr val="808080"/>
                </a:solidFill>
                <a:latin typeface="Calibri Light"/>
              </a:rPr>
              <a:t>Profitability</a:t>
            </a:r>
          </a:p>
        </c:rich>
      </c:tx>
      <c:layout>
        <c:manualLayout>
          <c:xMode val="edge"/>
          <c:yMode val="edge"/>
          <c:x val="0.28860999999999998"/>
          <c:y val="0"/>
          <c:w val="0.18254100000000001"/>
          <c:h val="0.14796200000000001"/>
        </c:manualLayout>
      </c:layout>
      <c:overlay val="1"/>
      <c:spPr>
        <a:noFill/>
        <a:effectLst/>
      </c:spPr>
    </c:title>
    <c:autoTitleDeleted val="0"/>
    <c:plotArea>
      <c:layout>
        <c:manualLayout>
          <c:layoutTarget val="inner"/>
          <c:xMode val="edge"/>
          <c:yMode val="edge"/>
          <c:x val="0.101951"/>
          <c:y val="0.14796200000000001"/>
          <c:w val="0.65535900000000002"/>
          <c:h val="0.76951099999999995"/>
        </c:manualLayout>
      </c:layout>
      <c:lineChart>
        <c:grouping val="standard"/>
        <c:varyColors val="0"/>
        <c:ser>
          <c:idx val="0"/>
          <c:order val="0"/>
          <c:tx>
            <c:strRef>
              <c:f>Sheet1!$B$1</c:f>
              <c:strCache>
                <c:ptCount val="1"/>
                <c:pt idx="0">
                  <c:v>Return on assets</c:v>
                </c:pt>
              </c:strCache>
            </c:strRef>
          </c:tx>
          <c:spPr>
            <a:ln w="22225" cap="rnd">
              <a:solidFill>
                <a:schemeClr val="accent2"/>
              </a:solidFill>
              <a:round/>
            </a:ln>
            <a:effectLst/>
          </c:spPr>
          <c:marker>
            <c:symbol val="none"/>
          </c:marker>
          <c:cat>
            <c:strRef>
              <c:f>Sheet1!$A$2:$A$4</c:f>
              <c:strCache>
                <c:ptCount val="3"/>
                <c:pt idx="0">
                  <c:v>2013</c:v>
                </c:pt>
                <c:pt idx="1">
                  <c:v>2014</c:v>
                </c:pt>
                <c:pt idx="2">
                  <c:v>2015</c:v>
                </c:pt>
              </c:strCache>
            </c:strRef>
          </c:cat>
          <c:val>
            <c:numRef>
              <c:f>Sheet1!$B$2:$B$4</c:f>
              <c:numCache>
                <c:formatCode>General</c:formatCode>
                <c:ptCount val="3"/>
                <c:pt idx="0">
                  <c:v>0.120112</c:v>
                </c:pt>
                <c:pt idx="1">
                  <c:v>0.12501100000000001</c:v>
                </c:pt>
                <c:pt idx="2">
                  <c:v>0.10556599999999999</c:v>
                </c:pt>
              </c:numCache>
            </c:numRef>
          </c:val>
          <c:smooth val="0"/>
          <c:extLst>
            <c:ext xmlns:c16="http://schemas.microsoft.com/office/drawing/2014/chart" uri="{C3380CC4-5D6E-409C-BE32-E72D297353CC}">
              <c16:uniqueId val="{00000000-AF66-48D3-B596-99EDB7CC7F21}"/>
            </c:ext>
          </c:extLst>
        </c:ser>
        <c:ser>
          <c:idx val="1"/>
          <c:order val="1"/>
          <c:tx>
            <c:strRef>
              <c:f>Sheet1!$C$1</c:f>
              <c:strCache>
                <c:ptCount val="1"/>
                <c:pt idx="0">
                  <c:v>Profit margin ratio</c:v>
                </c:pt>
              </c:strCache>
            </c:strRef>
          </c:tx>
          <c:spPr>
            <a:ln w="22225" cap="rnd">
              <a:solidFill>
                <a:schemeClr val="accent3"/>
              </a:solidFill>
              <a:round/>
            </a:ln>
            <a:effectLst/>
          </c:spPr>
          <c:marker>
            <c:symbol val="none"/>
          </c:marker>
          <c:cat>
            <c:strRef>
              <c:f>Sheet1!$A$2:$A$4</c:f>
              <c:strCache>
                <c:ptCount val="3"/>
                <c:pt idx="0">
                  <c:v>2013</c:v>
                </c:pt>
                <c:pt idx="1">
                  <c:v>2014</c:v>
                </c:pt>
                <c:pt idx="2">
                  <c:v>2015</c:v>
                </c:pt>
              </c:strCache>
            </c:strRef>
          </c:cat>
          <c:val>
            <c:numRef>
              <c:f>Sheet1!$C$2:$C$4</c:f>
              <c:numCache>
                <c:formatCode>General</c:formatCode>
                <c:ptCount val="3"/>
                <c:pt idx="0">
                  <c:v>0.167014</c:v>
                </c:pt>
                <c:pt idx="1">
                  <c:v>0.172816</c:v>
                </c:pt>
                <c:pt idx="2">
                  <c:v>0.154256</c:v>
                </c:pt>
              </c:numCache>
            </c:numRef>
          </c:val>
          <c:smooth val="0"/>
          <c:extLst>
            <c:ext xmlns:c16="http://schemas.microsoft.com/office/drawing/2014/chart" uri="{C3380CC4-5D6E-409C-BE32-E72D297353CC}">
              <c16:uniqueId val="{00000001-AF66-48D3-B596-99EDB7CC7F21}"/>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numFmt formatCode="General" sourceLinked="0"/>
        <c:majorTickMark val="none"/>
        <c:minorTickMark val="none"/>
        <c:tickLblPos val="low"/>
        <c:spPr>
          <a:ln w="12700">
            <a:solidFill>
              <a:srgbClr val="D9D9D9"/>
            </a:solidFill>
            <a:round/>
          </a:ln>
        </c:spPr>
        <c:txPr>
          <a:bodyPr rot="0"/>
          <a:lstStyle/>
          <a:p>
            <a:pPr>
              <a:defRPr sz="900" b="0" i="0" u="none" strike="noStrike">
                <a:solidFill>
                  <a:srgbClr val="595959"/>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a:solidFill>
                <a:srgbClr val="D9D9D9">
                  <a:alpha val="54000"/>
                </a:srgbClr>
              </a:solidFill>
              <a:round/>
            </a:ln>
          </c:spPr>
        </c:majorGridlines>
        <c:title>
          <c:tx>
            <c:rich>
              <a:bodyPr rot="-5400000"/>
              <a:lstStyle/>
              <a:p>
                <a:pPr>
                  <a:defRPr sz="900" b="1" i="0" u="none" strike="noStrike">
                    <a:solidFill>
                      <a:srgbClr val="595959"/>
                    </a:solidFill>
                    <a:latin typeface="Calibri"/>
                  </a:defRPr>
                </a:pPr>
                <a:r>
                  <a:rPr lang="en-US" sz="900" b="1" i="0" u="none" strike="noStrike">
                    <a:solidFill>
                      <a:srgbClr val="595959"/>
                    </a:solidFill>
                    <a:latin typeface="Calibri"/>
                  </a:rPr>
                  <a:t>Ratio</a:t>
                </a:r>
              </a:p>
            </c:rich>
          </c:tx>
          <c:overlay val="1"/>
        </c:title>
        <c:numFmt formatCode="0.00" sourceLinked="0"/>
        <c:majorTickMark val="none"/>
        <c:minorTickMark val="none"/>
        <c:tickLblPos val="nextTo"/>
        <c:spPr>
          <a:ln w="12700">
            <a:noFill/>
            <a:round/>
          </a:ln>
        </c:spPr>
        <c:txPr>
          <a:bodyPr rot="0"/>
          <a:lstStyle/>
          <a:p>
            <a:pPr>
              <a:defRPr sz="900" b="0" i="0" u="none" strike="noStrike">
                <a:solidFill>
                  <a:srgbClr val="595959"/>
                </a:solidFill>
                <a:latin typeface="Calibri"/>
              </a:defRPr>
            </a:pPr>
            <a:endParaRPr lang="en-US"/>
          </a:p>
        </c:txPr>
        <c:crossAx val="2094734552"/>
        <c:crosses val="autoZero"/>
        <c:crossBetween val="between"/>
        <c:majorUnit val="4.4999999999999998E-2"/>
        <c:minorUnit val="2.2499999999999999E-2"/>
      </c:valAx>
      <c:spPr>
        <a:blipFill rotWithShape="1">
          <a:blip xmlns:r="http://schemas.openxmlformats.org/officeDocument/2006/relationships" r:embed="rId1"/>
          <a:tile tx="0" ty="0" sx="100000" sy="100000" flip="none" algn="tl"/>
        </a:blipFill>
        <a:ln w="12700">
          <a:noFill/>
          <a:miter lim="400000"/>
        </a:ln>
        <a:effectLst/>
      </c:spPr>
    </c:plotArea>
    <c:legend>
      <c:legendPos val="r"/>
      <c:layout>
        <c:manualLayout>
          <c:xMode val="edge"/>
          <c:yMode val="edge"/>
          <c:x val="0.77131099999999997"/>
          <c:y val="0.47773700000000002"/>
          <c:w val="0.228689"/>
          <c:h val="0.12704199999999999"/>
        </c:manualLayout>
      </c:layout>
      <c:overlay val="1"/>
      <c:spPr>
        <a:noFill/>
        <a:ln w="12700">
          <a:noFill/>
          <a:miter lim="400000"/>
        </a:ln>
        <a:effectLst/>
      </c:spPr>
      <c:txPr>
        <a:bodyPr rot="0"/>
        <a:lstStyle/>
        <a:p>
          <a:pPr>
            <a:defRPr sz="900" b="0" i="0" u="none" strike="noStrike">
              <a:solidFill>
                <a:srgbClr val="595959"/>
              </a:solidFill>
              <a:latin typeface="Calibri"/>
            </a:defRPr>
          </a:pPr>
          <a:endParaRPr lang="en-US"/>
        </a:p>
      </c:txPr>
    </c:legend>
    <c:plotVisOnly val="1"/>
    <c:dispBlanksAs val="gap"/>
    <c:showDLblsOverMax val="1"/>
  </c:chart>
  <c:spPr>
    <a:solidFill>
      <a:srgbClr val="FFFFFF"/>
    </a:solidFill>
    <a:ln w="12700">
      <a:solidFill>
        <a:srgbClr val="D9D9D9"/>
      </a:solidFill>
      <a:round/>
    </a:ln>
    <a:effectLst/>
  </c:spPr>
  <c:externalData r:id="rId2">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Nzuvah Silas</dc:creator>
  <cp:lastModifiedBy>QD</cp:lastModifiedBy>
  <cp:revision>3</cp:revision>
  <dcterms:created xsi:type="dcterms:W3CDTF">2021-06-28T07:58:00Z</dcterms:created>
  <dcterms:modified xsi:type="dcterms:W3CDTF">2021-06-28T07:59:00Z</dcterms:modified>
</cp:coreProperties>
</file>